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8BA" w:rsidRPr="00A916D5" w:rsidRDefault="001548BA" w:rsidP="001548BA">
      <w:pPr>
        <w:spacing w:line="360" w:lineRule="auto"/>
        <w:rPr>
          <w:b/>
          <w:sz w:val="28"/>
          <w:szCs w:val="28"/>
        </w:rPr>
      </w:pPr>
      <w:r w:rsidRPr="00A916D5">
        <w:rPr>
          <w:b/>
          <w:sz w:val="28"/>
          <w:szCs w:val="28"/>
          <w:u w:val="single"/>
        </w:rPr>
        <w:t>CHAPITRE I</w:t>
      </w:r>
      <w:r>
        <w:rPr>
          <w:b/>
          <w:sz w:val="28"/>
          <w:szCs w:val="28"/>
          <w:u w:val="single"/>
        </w:rPr>
        <w:t>II</w:t>
      </w:r>
      <w:r w:rsidRPr="00B65FFC">
        <w:rPr>
          <w:b/>
          <w:sz w:val="28"/>
          <w:szCs w:val="28"/>
        </w:rPr>
        <w:t> :</w:t>
      </w:r>
      <w:r w:rsidRPr="00A916D5">
        <w:rPr>
          <w:b/>
          <w:sz w:val="28"/>
          <w:szCs w:val="28"/>
        </w:rPr>
        <w:t xml:space="preserve"> </w:t>
      </w:r>
      <w:r>
        <w:rPr>
          <w:b/>
          <w:sz w:val="28"/>
          <w:szCs w:val="28"/>
        </w:rPr>
        <w:t xml:space="preserve">LES </w:t>
      </w:r>
      <w:r w:rsidRPr="00A3247F">
        <w:rPr>
          <w:b/>
          <w:sz w:val="28"/>
          <w:szCs w:val="28"/>
        </w:rPr>
        <w:t>BACTÉRIOCINE</w:t>
      </w:r>
      <w:r>
        <w:rPr>
          <w:b/>
          <w:sz w:val="28"/>
          <w:szCs w:val="28"/>
        </w:rPr>
        <w:t xml:space="preserve">S </w:t>
      </w:r>
    </w:p>
    <w:p w:rsidR="001548BA" w:rsidRPr="007C177D" w:rsidRDefault="001548BA" w:rsidP="001548BA">
      <w:pPr>
        <w:autoSpaceDE w:val="0"/>
        <w:autoSpaceDN w:val="0"/>
        <w:adjustRightInd w:val="0"/>
        <w:spacing w:before="120" w:after="120" w:line="360" w:lineRule="auto"/>
        <w:ind w:firstLine="709"/>
        <w:jc w:val="both"/>
        <w:rPr>
          <w:b/>
          <w:bCs/>
        </w:rPr>
      </w:pPr>
      <w:r w:rsidRPr="00D90247">
        <w:rPr>
          <w:b/>
          <w:sz w:val="28"/>
          <w:szCs w:val="28"/>
        </w:rPr>
        <w:t>III</w:t>
      </w:r>
      <w:r w:rsidRPr="00A916D5">
        <w:rPr>
          <w:b/>
        </w:rPr>
        <w:t xml:space="preserve">.1. </w:t>
      </w:r>
      <w:r>
        <w:rPr>
          <w:b/>
          <w:bCs/>
        </w:rPr>
        <w:t>Généralités</w:t>
      </w:r>
    </w:p>
    <w:p w:rsidR="001548BA" w:rsidRPr="003015C7" w:rsidRDefault="001548BA" w:rsidP="001548BA">
      <w:pPr>
        <w:autoSpaceDE w:val="0"/>
        <w:autoSpaceDN w:val="0"/>
        <w:adjustRightInd w:val="0"/>
        <w:spacing w:before="120" w:after="120" w:line="360" w:lineRule="auto"/>
        <w:ind w:firstLine="709"/>
        <w:jc w:val="both"/>
        <w:rPr>
          <w:color w:val="FF0000"/>
        </w:rPr>
      </w:pPr>
      <w:r w:rsidRPr="003015C7">
        <w:t xml:space="preserve">Parmi les bactéries Gram positif, les bactéries lactiques et les bifidobactéries, </w:t>
      </w:r>
      <w:r>
        <w:t>représentent</w:t>
      </w:r>
      <w:r w:rsidRPr="003015C7">
        <w:t xml:space="preserve"> un grand réservoir de protéines antimicrobiennes, </w:t>
      </w:r>
      <w:r>
        <w:t>par ce fait exercent</w:t>
      </w:r>
      <w:r w:rsidRPr="003015C7">
        <w:t xml:space="preserve"> un effet naturel </w:t>
      </w:r>
      <w:r>
        <w:t>de</w:t>
      </w:r>
      <w:r w:rsidRPr="003015C7">
        <w:t xml:space="preserve"> préservation des aliments contre les</w:t>
      </w:r>
      <w:r>
        <w:t xml:space="preserve"> germes</w:t>
      </w:r>
      <w:r w:rsidRPr="003015C7">
        <w:t xml:space="preserve"> pathogènes tel</w:t>
      </w:r>
      <w:r>
        <w:t>s</w:t>
      </w:r>
      <w:r w:rsidRPr="003015C7">
        <w:t xml:space="preserve"> que </w:t>
      </w:r>
      <w:r w:rsidRPr="00B70668">
        <w:rPr>
          <w:i/>
          <w:iCs/>
        </w:rPr>
        <w:t xml:space="preserve">Listeria </w:t>
      </w:r>
      <w:r w:rsidRPr="003015C7">
        <w:rPr>
          <w:i/>
          <w:iCs/>
        </w:rPr>
        <w:t xml:space="preserve"> monocytogenes </w:t>
      </w:r>
      <w:r w:rsidRPr="003015C7">
        <w:t>et</w:t>
      </w:r>
      <w:r w:rsidRPr="003015C7">
        <w:rPr>
          <w:i/>
          <w:iCs/>
        </w:rPr>
        <w:t xml:space="preserve"> Staphylococcus aureus </w:t>
      </w:r>
      <w:r w:rsidRPr="003015C7">
        <w:rPr>
          <w:color w:val="0000FF"/>
        </w:rPr>
        <w:t xml:space="preserve">(Yildirim </w:t>
      </w:r>
      <w:r w:rsidRPr="003015C7">
        <w:rPr>
          <w:i/>
          <w:iCs/>
          <w:color w:val="0000FF"/>
        </w:rPr>
        <w:t>et al</w:t>
      </w:r>
      <w:r w:rsidRPr="003015C7">
        <w:rPr>
          <w:color w:val="0000FF"/>
        </w:rPr>
        <w:t>., 2004</w:t>
      </w:r>
      <w:r>
        <w:rPr>
          <w:color w:val="0000FF"/>
        </w:rPr>
        <w:t xml:space="preserve"> </w:t>
      </w:r>
      <w:r w:rsidRPr="003015C7">
        <w:rPr>
          <w:color w:val="0000FF"/>
        </w:rPr>
        <w:t>;</w:t>
      </w:r>
      <w:r>
        <w:rPr>
          <w:color w:val="0000FF"/>
        </w:rPr>
        <w:t xml:space="preserve"> </w:t>
      </w:r>
      <w:r w:rsidRPr="003015C7">
        <w:rPr>
          <w:color w:val="0000FF"/>
        </w:rPr>
        <w:t xml:space="preserve">Mobarez </w:t>
      </w:r>
      <w:r w:rsidRPr="003015C7">
        <w:rPr>
          <w:i/>
          <w:iCs/>
          <w:color w:val="0000FF"/>
        </w:rPr>
        <w:t>et al</w:t>
      </w:r>
      <w:r w:rsidRPr="003015C7">
        <w:rPr>
          <w:color w:val="0000FF"/>
        </w:rPr>
        <w:t>., 2008)</w:t>
      </w:r>
      <w:r w:rsidRPr="003015C7">
        <w:t>.</w:t>
      </w:r>
    </w:p>
    <w:p w:rsidR="001548BA" w:rsidRPr="003015C7" w:rsidRDefault="001548BA" w:rsidP="001548BA">
      <w:pPr>
        <w:autoSpaceDE w:val="0"/>
        <w:autoSpaceDN w:val="0"/>
        <w:adjustRightInd w:val="0"/>
        <w:spacing w:before="120" w:after="120" w:line="360" w:lineRule="auto"/>
        <w:ind w:firstLine="709"/>
        <w:jc w:val="both"/>
        <w:rPr>
          <w:color w:val="FF0000"/>
        </w:rPr>
      </w:pPr>
      <w:r w:rsidRPr="003015C7">
        <w:t xml:space="preserve">La  plupart des recherches </w:t>
      </w:r>
      <w:r>
        <w:t xml:space="preserve">se </w:t>
      </w:r>
      <w:r w:rsidRPr="003015C7">
        <w:t>son</w:t>
      </w:r>
      <w:r>
        <w:t>t</w:t>
      </w:r>
      <w:r w:rsidRPr="003015C7">
        <w:t xml:space="preserve"> focalis</w:t>
      </w:r>
      <w:r>
        <w:t>és</w:t>
      </w:r>
      <w:r w:rsidRPr="003015C7">
        <w:t xml:space="preserve"> sur la production des bactériocines par les </w:t>
      </w:r>
      <w:r>
        <w:t xml:space="preserve">bactéries </w:t>
      </w:r>
      <w:r w:rsidRPr="003015C7">
        <w:t>lactique</w:t>
      </w:r>
      <w:r>
        <w:t>s</w:t>
      </w:r>
      <w:r w:rsidRPr="003015C7">
        <w:t xml:space="preserve"> </w:t>
      </w:r>
      <w:r>
        <w:t>en particulier</w:t>
      </w:r>
      <w:r w:rsidRPr="003015C7">
        <w:t xml:space="preserve">, </w:t>
      </w:r>
      <w:r w:rsidRPr="003015C7">
        <w:rPr>
          <w:i/>
          <w:iCs/>
        </w:rPr>
        <w:t>Lactobacillus</w:t>
      </w:r>
      <w:r w:rsidRPr="003015C7">
        <w:t xml:space="preserve"> sp., </w:t>
      </w:r>
      <w:r w:rsidRPr="003015C7">
        <w:rPr>
          <w:i/>
          <w:iCs/>
        </w:rPr>
        <w:t>Lactococcus</w:t>
      </w:r>
      <w:r w:rsidRPr="003015C7">
        <w:t xml:space="preserve"> sp., </w:t>
      </w:r>
      <w:r w:rsidRPr="003015C7">
        <w:rPr>
          <w:i/>
          <w:iCs/>
        </w:rPr>
        <w:t>Enterococcus</w:t>
      </w:r>
      <w:r w:rsidRPr="003015C7">
        <w:t xml:space="preserve"> sp et </w:t>
      </w:r>
      <w:r w:rsidRPr="003015C7">
        <w:rPr>
          <w:i/>
          <w:iCs/>
        </w:rPr>
        <w:t>Pediococcus</w:t>
      </w:r>
      <w:r w:rsidRPr="003015C7">
        <w:t xml:space="preserve"> sp </w:t>
      </w:r>
      <w:r w:rsidRPr="003015C7">
        <w:rPr>
          <w:color w:val="0000FF"/>
        </w:rPr>
        <w:t>(Todorov et Dicks, 2006 )</w:t>
      </w:r>
      <w:r w:rsidRPr="003015C7">
        <w:t xml:space="preserve">, alors que peu d’études existent sur la production des bactériocines par les bifidobactéries </w:t>
      </w:r>
      <w:r w:rsidRPr="003015C7">
        <w:rPr>
          <w:color w:val="0000FF"/>
        </w:rPr>
        <w:t xml:space="preserve">(Yildirim et Johnson, 1998 ; Yildirim </w:t>
      </w:r>
      <w:r w:rsidRPr="003015C7">
        <w:rPr>
          <w:i/>
          <w:iCs/>
          <w:color w:val="0000FF"/>
        </w:rPr>
        <w:t>et al</w:t>
      </w:r>
      <w:r w:rsidRPr="003015C7">
        <w:rPr>
          <w:color w:val="0000FF"/>
        </w:rPr>
        <w:t>.,  1999 ; Uelivon, 2004 ; 2006</w:t>
      </w:r>
      <w:r>
        <w:rPr>
          <w:color w:val="0000FF"/>
        </w:rPr>
        <w:t xml:space="preserve"> </w:t>
      </w:r>
      <w:r w:rsidRPr="003015C7">
        <w:rPr>
          <w:color w:val="0000FF"/>
        </w:rPr>
        <w:t xml:space="preserve">; Chiekhyoussef </w:t>
      </w:r>
      <w:r w:rsidRPr="003015C7">
        <w:rPr>
          <w:i/>
          <w:iCs/>
          <w:color w:val="0000FF"/>
        </w:rPr>
        <w:t>et al.,</w:t>
      </w:r>
      <w:r w:rsidRPr="003015C7">
        <w:rPr>
          <w:color w:val="0000FF"/>
        </w:rPr>
        <w:t xml:space="preserve"> 2008)</w:t>
      </w:r>
      <w:r w:rsidRPr="004A5595">
        <w:t xml:space="preserve">. </w:t>
      </w:r>
    </w:p>
    <w:p w:rsidR="001548BA" w:rsidRPr="003015C7" w:rsidRDefault="001548BA" w:rsidP="001548BA">
      <w:pPr>
        <w:autoSpaceDE w:val="0"/>
        <w:autoSpaceDN w:val="0"/>
        <w:adjustRightInd w:val="0"/>
        <w:spacing w:before="120" w:after="120" w:line="360" w:lineRule="auto"/>
        <w:ind w:firstLine="709"/>
        <w:jc w:val="both"/>
      </w:pPr>
      <w:r w:rsidRPr="003015C7">
        <w:t xml:space="preserve">La première étude sur la production de bactériocines par les bifidobactéries a été rapportée par Anand </w:t>
      </w:r>
      <w:r w:rsidRPr="003015C7">
        <w:rPr>
          <w:i/>
          <w:iCs/>
        </w:rPr>
        <w:t>et al</w:t>
      </w:r>
      <w:r>
        <w:t>.</w:t>
      </w:r>
      <w:r w:rsidRPr="003015C7">
        <w:rPr>
          <w:color w:val="FF0000"/>
        </w:rPr>
        <w:t xml:space="preserve"> </w:t>
      </w:r>
      <w:r w:rsidRPr="003015C7">
        <w:rPr>
          <w:color w:val="0000FF"/>
        </w:rPr>
        <w:t xml:space="preserve">(1985) et Kang </w:t>
      </w:r>
      <w:r w:rsidRPr="003015C7">
        <w:rPr>
          <w:i/>
          <w:iCs/>
          <w:color w:val="0000FF"/>
        </w:rPr>
        <w:t>et al.</w:t>
      </w:r>
      <w:r w:rsidRPr="003015C7">
        <w:rPr>
          <w:color w:val="0000FF"/>
        </w:rPr>
        <w:t xml:space="preserve"> (1989)</w:t>
      </w:r>
      <w:r w:rsidRPr="003015C7">
        <w:rPr>
          <w:color w:val="FF0000"/>
        </w:rPr>
        <w:t xml:space="preserve"> </w:t>
      </w:r>
      <w:r w:rsidRPr="003015C7">
        <w:t>qu</w:t>
      </w:r>
      <w:r>
        <w:t xml:space="preserve">i </w:t>
      </w:r>
      <w:r w:rsidRPr="003015C7">
        <w:t xml:space="preserve">ont </w:t>
      </w:r>
      <w:r>
        <w:t>préconisé que</w:t>
      </w:r>
      <w:r w:rsidRPr="003015C7">
        <w:t xml:space="preserve">   </w:t>
      </w:r>
      <w:r>
        <w:t xml:space="preserve">           </w:t>
      </w:r>
      <w:r w:rsidRPr="003015C7">
        <w:t xml:space="preserve">  la bifidine</w:t>
      </w:r>
      <w:r w:rsidRPr="003015C7">
        <w:rPr>
          <w:i/>
          <w:iCs/>
        </w:rPr>
        <w:t xml:space="preserve"> </w:t>
      </w:r>
      <w:r w:rsidRPr="003015C7">
        <w:t xml:space="preserve">et la bifilong </w:t>
      </w:r>
      <w:r>
        <w:t xml:space="preserve">étaient </w:t>
      </w:r>
      <w:r w:rsidRPr="003015C7">
        <w:t>respectivement</w:t>
      </w:r>
      <w:r w:rsidRPr="003015C7">
        <w:rPr>
          <w:i/>
          <w:iCs/>
        </w:rPr>
        <w:t xml:space="preserve"> </w:t>
      </w:r>
      <w:r w:rsidRPr="003015C7">
        <w:t>produit</w:t>
      </w:r>
      <w:r>
        <w:t>es</w:t>
      </w:r>
      <w:r w:rsidRPr="003015C7">
        <w:t xml:space="preserve"> </w:t>
      </w:r>
      <w:r>
        <w:t xml:space="preserve">par </w:t>
      </w:r>
      <w:r w:rsidRPr="003015C7">
        <w:rPr>
          <w:i/>
          <w:iCs/>
        </w:rPr>
        <w:t>B. bifidum</w:t>
      </w:r>
      <w:r w:rsidRPr="003015C7">
        <w:t xml:space="preserve"> </w:t>
      </w:r>
      <w:r>
        <w:t xml:space="preserve">et </w:t>
      </w:r>
      <w:r w:rsidRPr="003015C7">
        <w:t xml:space="preserve"> </w:t>
      </w:r>
      <w:r w:rsidRPr="003015C7">
        <w:rPr>
          <w:i/>
          <w:iCs/>
        </w:rPr>
        <w:t>B. longum</w:t>
      </w:r>
      <w:r w:rsidRPr="003015C7">
        <w:t>.</w:t>
      </w:r>
    </w:p>
    <w:p w:rsidR="001548BA" w:rsidRPr="003015C7" w:rsidRDefault="001548BA" w:rsidP="001548BA">
      <w:pPr>
        <w:autoSpaceDE w:val="0"/>
        <w:autoSpaceDN w:val="0"/>
        <w:adjustRightInd w:val="0"/>
        <w:spacing w:before="120" w:after="120" w:line="360" w:lineRule="auto"/>
        <w:jc w:val="both"/>
      </w:pPr>
      <w:r w:rsidRPr="003015C7">
        <w:t xml:space="preserve">         </w:t>
      </w:r>
      <w:r w:rsidRPr="003015C7">
        <w:tab/>
      </w:r>
      <w:r w:rsidRPr="003015C7">
        <w:rPr>
          <w:color w:val="0000FF"/>
        </w:rPr>
        <w:t xml:space="preserve">Yildirim </w:t>
      </w:r>
      <w:r w:rsidRPr="003015C7">
        <w:rPr>
          <w:i/>
          <w:iCs/>
          <w:color w:val="0000FF"/>
        </w:rPr>
        <w:t>et al</w:t>
      </w:r>
      <w:r w:rsidRPr="003015C7">
        <w:rPr>
          <w:color w:val="0000FF"/>
        </w:rPr>
        <w:t>. (2004)</w:t>
      </w:r>
      <w:r w:rsidRPr="003015C7">
        <w:rPr>
          <w:color w:val="FF0000"/>
        </w:rPr>
        <w:t xml:space="preserve"> </w:t>
      </w:r>
      <w:r w:rsidRPr="003015C7">
        <w:t xml:space="preserve"> ont décrit une bactériocine nommée lactococcin R, </w:t>
      </w:r>
      <w:r>
        <w:t>produite par</w:t>
      </w:r>
      <w:r w:rsidRPr="003015C7">
        <w:t xml:space="preserve"> </w:t>
      </w:r>
      <w:r w:rsidRPr="003015C7">
        <w:rPr>
          <w:i/>
          <w:iCs/>
        </w:rPr>
        <w:t>Lactococcus lactis</w:t>
      </w:r>
      <w:r w:rsidRPr="003015C7">
        <w:t xml:space="preserve"> R, </w:t>
      </w:r>
      <w:r>
        <w:t>et qui</w:t>
      </w:r>
      <w:r w:rsidRPr="003015C7">
        <w:t xml:space="preserve"> inhibe la croissance des espèces suivantes : </w:t>
      </w:r>
      <w:r w:rsidR="0018736E" w:rsidRPr="00B70668">
        <w:rPr>
          <w:i/>
          <w:iCs/>
        </w:rPr>
        <w:t>Listeria,</w:t>
      </w:r>
      <w:r w:rsidRPr="003015C7">
        <w:t xml:space="preserve"> </w:t>
      </w:r>
      <w:r w:rsidRPr="003015C7">
        <w:rPr>
          <w:i/>
          <w:iCs/>
        </w:rPr>
        <w:t>Staphylococcus</w:t>
      </w:r>
      <w:r w:rsidRPr="003015C7">
        <w:t xml:space="preserve">, </w:t>
      </w:r>
      <w:r w:rsidRPr="003015C7">
        <w:rPr>
          <w:i/>
          <w:iCs/>
        </w:rPr>
        <w:t>Clostridi</w:t>
      </w:r>
      <w:r>
        <w:rPr>
          <w:i/>
          <w:iCs/>
        </w:rPr>
        <w:t>um</w:t>
      </w:r>
      <w:r w:rsidRPr="003015C7">
        <w:t xml:space="preserve">, </w:t>
      </w:r>
      <w:r w:rsidRPr="003015C7">
        <w:rPr>
          <w:i/>
          <w:iCs/>
        </w:rPr>
        <w:t>Bacillus</w:t>
      </w:r>
      <w:r w:rsidRPr="003015C7">
        <w:t xml:space="preserve">, </w:t>
      </w:r>
      <w:r w:rsidRPr="003015C7">
        <w:rPr>
          <w:i/>
          <w:iCs/>
        </w:rPr>
        <w:t>Micrococcus</w:t>
      </w:r>
      <w:r w:rsidRPr="003015C7">
        <w:t xml:space="preserve">, </w:t>
      </w:r>
      <w:r w:rsidRPr="003015C7">
        <w:rPr>
          <w:i/>
          <w:iCs/>
        </w:rPr>
        <w:t>Enterococcus</w:t>
      </w:r>
      <w:r w:rsidRPr="003015C7">
        <w:t xml:space="preserve">, </w:t>
      </w:r>
      <w:r w:rsidRPr="003015C7">
        <w:rPr>
          <w:i/>
          <w:iCs/>
        </w:rPr>
        <w:t>Lactobacillus</w:t>
      </w:r>
      <w:r w:rsidRPr="003015C7">
        <w:t xml:space="preserve"> et </w:t>
      </w:r>
      <w:r w:rsidRPr="003015C7">
        <w:rPr>
          <w:i/>
          <w:iCs/>
        </w:rPr>
        <w:t>Pediococcus</w:t>
      </w:r>
      <w:r w:rsidRPr="003015C7">
        <w:t>.</w:t>
      </w:r>
    </w:p>
    <w:p w:rsidR="001548BA" w:rsidRDefault="001548BA" w:rsidP="001548BA">
      <w:pPr>
        <w:autoSpaceDE w:val="0"/>
        <w:autoSpaceDN w:val="0"/>
        <w:adjustRightInd w:val="0"/>
        <w:spacing w:before="120" w:after="120" w:line="360" w:lineRule="auto"/>
        <w:ind w:firstLine="708"/>
        <w:jc w:val="both"/>
      </w:pPr>
      <w:r w:rsidRPr="003015C7">
        <w:t xml:space="preserve">La nisine produite par quelques souches de </w:t>
      </w:r>
      <w:r w:rsidRPr="003015C7">
        <w:rPr>
          <w:i/>
          <w:iCs/>
        </w:rPr>
        <w:t>Lactococcus lactis</w:t>
      </w:r>
      <w:r w:rsidRPr="003015C7">
        <w:t xml:space="preserve"> subsp. </w:t>
      </w:r>
      <w:r w:rsidRPr="003015C7">
        <w:rPr>
          <w:i/>
          <w:iCs/>
        </w:rPr>
        <w:t>Lactis</w:t>
      </w:r>
      <w:r w:rsidRPr="003015C7">
        <w:t>,</w:t>
      </w:r>
      <w:r>
        <w:t xml:space="preserve"> est </w:t>
      </w:r>
      <w:r w:rsidRPr="003015C7">
        <w:t xml:space="preserve"> la bactériocine </w:t>
      </w:r>
      <w:r>
        <w:t>la plus étudiée</w:t>
      </w:r>
      <w:r w:rsidRPr="003015C7">
        <w:t>. Découverte en 1920 et classé</w:t>
      </w:r>
      <w:r>
        <w:t>e</w:t>
      </w:r>
      <w:r w:rsidRPr="003015C7">
        <w:t xml:space="preserve"> comme un lantibiotique à 34 amino-acides, la nisine inhibe uniquement la multiplication des bactéries à Gram positif, inclu</w:t>
      </w:r>
      <w:r>
        <w:t>a</w:t>
      </w:r>
      <w:r w:rsidRPr="003015C7">
        <w:t xml:space="preserve">nt </w:t>
      </w:r>
      <w:r w:rsidRPr="00B70668">
        <w:rPr>
          <w:i/>
          <w:iCs/>
        </w:rPr>
        <w:t xml:space="preserve">Listeria </w:t>
      </w:r>
      <w:r w:rsidRPr="003015C7">
        <w:rPr>
          <w:i/>
          <w:iCs/>
        </w:rPr>
        <w:t xml:space="preserve"> monocytogenes</w:t>
      </w:r>
      <w:r w:rsidRPr="003015C7">
        <w:t xml:space="preserve"> </w:t>
      </w:r>
      <w:r w:rsidRPr="003015C7">
        <w:rPr>
          <w:color w:val="0000FF"/>
        </w:rPr>
        <w:t>(Verheul</w:t>
      </w:r>
      <w:r w:rsidRPr="003015C7">
        <w:rPr>
          <w:i/>
          <w:iCs/>
          <w:color w:val="0000FF"/>
        </w:rPr>
        <w:t xml:space="preserve"> et al</w:t>
      </w:r>
      <w:r w:rsidRPr="003015C7">
        <w:rPr>
          <w:color w:val="0000FF"/>
        </w:rPr>
        <w:t>., 1997)</w:t>
      </w:r>
      <w:r w:rsidRPr="003015C7">
        <w:t>.</w:t>
      </w:r>
    </w:p>
    <w:p w:rsidR="001548BA" w:rsidRPr="003015C7" w:rsidRDefault="001548BA" w:rsidP="001548BA">
      <w:pPr>
        <w:autoSpaceDE w:val="0"/>
        <w:autoSpaceDN w:val="0"/>
        <w:adjustRightInd w:val="0"/>
        <w:spacing w:before="120" w:after="120" w:line="360" w:lineRule="auto"/>
        <w:ind w:firstLine="708"/>
        <w:jc w:val="both"/>
        <w:rPr>
          <w:color w:val="FF0000"/>
        </w:rPr>
      </w:pPr>
      <w:r w:rsidRPr="003015C7">
        <w:t>C’est la seule bactériocine</w:t>
      </w:r>
      <w:r>
        <w:t xml:space="preserve"> autorisée à être utilisée comme conservateur </w:t>
      </w:r>
      <w:r w:rsidRPr="003015C7">
        <w:t>dans les aliments </w:t>
      </w:r>
      <w:r w:rsidRPr="003015C7">
        <w:rPr>
          <w:color w:val="0000FF"/>
        </w:rPr>
        <w:t>(De Lima et Filho, 2005)</w:t>
      </w:r>
      <w:r w:rsidRPr="003015C7">
        <w:t xml:space="preserve">. </w:t>
      </w:r>
      <w:r w:rsidRPr="003015C7">
        <w:rPr>
          <w:color w:val="FF0000"/>
        </w:rPr>
        <w:t xml:space="preserve">    </w:t>
      </w:r>
    </w:p>
    <w:p w:rsidR="001548BA" w:rsidRPr="00312A78" w:rsidRDefault="001548BA" w:rsidP="001548BA">
      <w:pPr>
        <w:autoSpaceDE w:val="0"/>
        <w:autoSpaceDN w:val="0"/>
        <w:adjustRightInd w:val="0"/>
        <w:spacing w:before="120" w:after="120" w:line="360" w:lineRule="auto"/>
        <w:ind w:firstLine="708"/>
        <w:jc w:val="both"/>
        <w:rPr>
          <w:b/>
          <w:bCs/>
        </w:rPr>
      </w:pPr>
      <w:r w:rsidRPr="00D90247">
        <w:rPr>
          <w:b/>
          <w:sz w:val="28"/>
          <w:szCs w:val="28"/>
        </w:rPr>
        <w:t>III</w:t>
      </w:r>
      <w:r w:rsidRPr="00A916D5">
        <w:rPr>
          <w:b/>
        </w:rPr>
        <w:t>.</w:t>
      </w:r>
      <w:r>
        <w:rPr>
          <w:b/>
        </w:rPr>
        <w:t>2</w:t>
      </w:r>
      <w:r w:rsidRPr="00A916D5">
        <w:rPr>
          <w:b/>
        </w:rPr>
        <w:t xml:space="preserve">. </w:t>
      </w:r>
      <w:r w:rsidRPr="00312A78">
        <w:rPr>
          <w:b/>
          <w:bCs/>
        </w:rPr>
        <w:t>Historique et définition </w:t>
      </w:r>
    </w:p>
    <w:p w:rsidR="001548BA" w:rsidRPr="003015C7" w:rsidRDefault="001548BA" w:rsidP="001548BA">
      <w:pPr>
        <w:autoSpaceDE w:val="0"/>
        <w:autoSpaceDN w:val="0"/>
        <w:adjustRightInd w:val="0"/>
        <w:spacing w:before="120" w:after="120" w:line="360" w:lineRule="auto"/>
        <w:ind w:firstLine="708"/>
        <w:jc w:val="both"/>
      </w:pPr>
      <w:r w:rsidRPr="003015C7">
        <w:t xml:space="preserve">Le premier </w:t>
      </w:r>
      <w:r>
        <w:t xml:space="preserve">pas dans la reconnaissance des vertus des bactériocines </w:t>
      </w:r>
      <w:r w:rsidRPr="003015C7">
        <w:t xml:space="preserve"> date à 1925, quand André Gratia démontre que la substance inhibitrice, nommée aujourd’hui Colicine, produite par </w:t>
      </w:r>
      <w:r w:rsidRPr="003015C7">
        <w:rPr>
          <w:i/>
          <w:iCs/>
        </w:rPr>
        <w:t>E. coli</w:t>
      </w:r>
      <w:r w:rsidRPr="003015C7">
        <w:t xml:space="preserve"> avait un effet antagoniste contre une autre souche  de </w:t>
      </w:r>
      <w:r w:rsidRPr="008310B5">
        <w:rPr>
          <w:i/>
          <w:iCs/>
        </w:rPr>
        <w:t>E. coli</w:t>
      </w:r>
      <w:r w:rsidRPr="003015C7">
        <w:t xml:space="preserve"> (</w:t>
      </w:r>
      <w:r w:rsidRPr="003015C7">
        <w:rPr>
          <w:color w:val="0000FF"/>
        </w:rPr>
        <w:t>De lima et  Andreatti Filho, 2005</w:t>
      </w:r>
      <w:r w:rsidRPr="003015C7">
        <w:t>).</w:t>
      </w:r>
      <w:r>
        <w:t xml:space="preserve"> </w:t>
      </w:r>
      <w:r w:rsidRPr="003015C7">
        <w:t xml:space="preserve">En 1953, Jacob </w:t>
      </w:r>
      <w:r w:rsidRPr="003015C7">
        <w:rPr>
          <w:i/>
          <w:iCs/>
        </w:rPr>
        <w:t>et al</w:t>
      </w:r>
      <w:r w:rsidRPr="003015C7">
        <w:t xml:space="preserve">. </w:t>
      </w:r>
      <w:r>
        <w:t>Proposèrent</w:t>
      </w:r>
      <w:r w:rsidRPr="003015C7">
        <w:t xml:space="preserve"> le terme   général « bactériocine ». Elles furent définies comme des antibiotiques protéiques, caractérisés par une activité bactéricide intra-espèce et une </w:t>
      </w:r>
      <w:r>
        <w:t>internalisation via</w:t>
      </w:r>
      <w:r w:rsidRPr="003015C7">
        <w:t xml:space="preserve"> des </w:t>
      </w:r>
      <w:r w:rsidRPr="003015C7">
        <w:lastRenderedPageBreak/>
        <w:t xml:space="preserve">récepteurs spécifiques sur la surface des cellules cibles </w:t>
      </w:r>
      <w:r w:rsidRPr="00BC253D">
        <w:rPr>
          <w:color w:val="0000FF"/>
        </w:rPr>
        <w:t>(</w:t>
      </w:r>
      <w:r w:rsidRPr="003015C7">
        <w:rPr>
          <w:color w:val="0000FF"/>
        </w:rPr>
        <w:t xml:space="preserve">Jack </w:t>
      </w:r>
      <w:r w:rsidRPr="003015C7">
        <w:rPr>
          <w:i/>
          <w:iCs/>
          <w:color w:val="0000FF"/>
        </w:rPr>
        <w:t>et al</w:t>
      </w:r>
      <w:r w:rsidRPr="003015C7">
        <w:rPr>
          <w:color w:val="0000FF"/>
        </w:rPr>
        <w:t xml:space="preserve">., 1996 ; Cheikhyoussef </w:t>
      </w:r>
      <w:r w:rsidRPr="003015C7">
        <w:rPr>
          <w:i/>
          <w:iCs/>
          <w:color w:val="0000FF"/>
        </w:rPr>
        <w:t>et al</w:t>
      </w:r>
      <w:r w:rsidRPr="003015C7">
        <w:rPr>
          <w:color w:val="0000FF"/>
        </w:rPr>
        <w:t>., 2008</w:t>
      </w:r>
      <w:r w:rsidRPr="00BC253D">
        <w:rPr>
          <w:color w:val="0000FF"/>
        </w:rPr>
        <w:t>)</w:t>
      </w:r>
      <w:r w:rsidRPr="003015C7">
        <w:t>.</w:t>
      </w:r>
    </w:p>
    <w:p w:rsidR="001548BA" w:rsidRPr="003015C7" w:rsidRDefault="001548BA" w:rsidP="001548BA">
      <w:pPr>
        <w:autoSpaceDE w:val="0"/>
        <w:autoSpaceDN w:val="0"/>
        <w:adjustRightInd w:val="0"/>
        <w:spacing w:before="120" w:after="120" w:line="360" w:lineRule="auto"/>
        <w:ind w:firstLine="708"/>
        <w:jc w:val="both"/>
      </w:pPr>
      <w:r w:rsidRPr="003015C7">
        <w:t xml:space="preserve">En </w:t>
      </w:r>
      <w:r w:rsidRPr="00A35883">
        <w:rPr>
          <w:color w:val="0000FF"/>
        </w:rPr>
        <w:t>1976</w:t>
      </w:r>
      <w:r w:rsidRPr="008310B5">
        <w:rPr>
          <w:color w:val="0000FF"/>
        </w:rPr>
        <w:t>,</w:t>
      </w:r>
      <w:r w:rsidRPr="003015C7">
        <w:t xml:space="preserve"> </w:t>
      </w:r>
      <w:r w:rsidRPr="00A35883">
        <w:rPr>
          <w:color w:val="0000FF"/>
        </w:rPr>
        <w:t>Tagg</w:t>
      </w:r>
      <w:r w:rsidRPr="003015C7">
        <w:t xml:space="preserve"> </w:t>
      </w:r>
      <w:r w:rsidRPr="00A35883">
        <w:rPr>
          <w:i/>
          <w:iCs/>
          <w:color w:val="0000FF"/>
        </w:rPr>
        <w:t>et al</w:t>
      </w:r>
      <w:r w:rsidRPr="00A35883">
        <w:rPr>
          <w:color w:val="0000FF"/>
        </w:rPr>
        <w:t>.</w:t>
      </w:r>
      <w:r w:rsidRPr="003015C7">
        <w:t xml:space="preserve"> définirent </w:t>
      </w:r>
      <w:r>
        <w:t xml:space="preserve">les bactériocines </w:t>
      </w:r>
      <w:r w:rsidRPr="003015C7">
        <w:t>comme des composés protéiques ayant les caractéristiques suivant</w:t>
      </w:r>
      <w:r>
        <w:t>es</w:t>
      </w:r>
      <w:r w:rsidRPr="003015C7">
        <w:t> : un spectre d’action inhibit</w:t>
      </w:r>
      <w:r>
        <w:t>rice</w:t>
      </w:r>
      <w:r w:rsidRPr="003015C7">
        <w:t xml:space="preserve"> faible, la présence essentiel</w:t>
      </w:r>
      <w:r>
        <w:t>le</w:t>
      </w:r>
      <w:r w:rsidRPr="003015C7">
        <w:t xml:space="preserve"> de la fraction protéinique biologiquement active, un mode d’action bactéricide, la fixation sur les récepteurs spécifiques des cellules</w:t>
      </w:r>
      <w:r w:rsidRPr="003015C7">
        <w:rPr>
          <w:color w:val="000000"/>
        </w:rPr>
        <w:t xml:space="preserve"> </w:t>
      </w:r>
      <w:r w:rsidRPr="00A35883">
        <w:rPr>
          <w:color w:val="0000FF"/>
        </w:rPr>
        <w:t>(</w:t>
      </w:r>
      <w:r w:rsidRPr="003015C7">
        <w:rPr>
          <w:color w:val="0000FF"/>
        </w:rPr>
        <w:t xml:space="preserve">Tagg </w:t>
      </w:r>
      <w:r w:rsidRPr="003015C7">
        <w:rPr>
          <w:i/>
          <w:iCs/>
          <w:color w:val="0000FF"/>
        </w:rPr>
        <w:t>et al</w:t>
      </w:r>
      <w:r w:rsidRPr="003015C7">
        <w:rPr>
          <w:color w:val="0000FF"/>
        </w:rPr>
        <w:t xml:space="preserve">., 1976; Jack </w:t>
      </w:r>
      <w:r w:rsidRPr="003015C7">
        <w:rPr>
          <w:i/>
          <w:iCs/>
          <w:color w:val="0000FF"/>
        </w:rPr>
        <w:t>et al</w:t>
      </w:r>
      <w:r w:rsidRPr="003015C7">
        <w:rPr>
          <w:color w:val="0000FF"/>
        </w:rPr>
        <w:t>., 1995</w:t>
      </w:r>
      <w:r w:rsidRPr="00A35883">
        <w:rPr>
          <w:color w:val="0000FF"/>
        </w:rPr>
        <w:t>)</w:t>
      </w:r>
      <w:r w:rsidRPr="003015C7">
        <w:t>.</w:t>
      </w:r>
    </w:p>
    <w:p w:rsidR="001548BA" w:rsidRPr="003015C7" w:rsidRDefault="001548BA" w:rsidP="001548BA">
      <w:pPr>
        <w:autoSpaceDE w:val="0"/>
        <w:autoSpaceDN w:val="0"/>
        <w:adjustRightInd w:val="0"/>
        <w:spacing w:before="120" w:after="120" w:line="360" w:lineRule="auto"/>
        <w:ind w:firstLine="708"/>
        <w:jc w:val="both"/>
      </w:pPr>
      <w:r w:rsidRPr="003015C7">
        <w:t xml:space="preserve">En </w:t>
      </w:r>
      <w:r w:rsidRPr="00A35883">
        <w:rPr>
          <w:color w:val="0000FF"/>
        </w:rPr>
        <w:t>1988</w:t>
      </w:r>
      <w:r w:rsidRPr="003015C7">
        <w:t xml:space="preserve">, </w:t>
      </w:r>
      <w:r w:rsidRPr="00A35883">
        <w:rPr>
          <w:color w:val="0000FF"/>
        </w:rPr>
        <w:t>Klaenhammer</w:t>
      </w:r>
      <w:r w:rsidRPr="003015C7">
        <w:t xml:space="preserve"> proposa </w:t>
      </w:r>
      <w:r>
        <w:t>une</w:t>
      </w:r>
      <w:r w:rsidRPr="003015C7">
        <w:t xml:space="preserve"> définition </w:t>
      </w:r>
      <w:r>
        <w:t xml:space="preserve">des bactériocines </w:t>
      </w:r>
      <w:r w:rsidRPr="003015C7">
        <w:t>qui reste la plus largement acceptée. Il définit les bactériocines comme des protéines, ou complexes de protéines, synthétisé</w:t>
      </w:r>
      <w:r>
        <w:t>es</w:t>
      </w:r>
      <w:r w:rsidRPr="003015C7">
        <w:t xml:space="preserve"> par les ribosomes avec un</w:t>
      </w:r>
      <w:r>
        <w:t>e sécrétion</w:t>
      </w:r>
      <w:r w:rsidRPr="003015C7">
        <w:t xml:space="preserve"> extracellulaire et un faible poids moléculaires (30 </w:t>
      </w:r>
      <w:r>
        <w:t xml:space="preserve">à </w:t>
      </w:r>
      <w:r w:rsidRPr="003015C7">
        <w:t>60 acides amines) avec une activité bactéricide contre les espèces proches de la souche productrice (</w:t>
      </w:r>
      <w:r w:rsidRPr="003015C7">
        <w:rPr>
          <w:color w:val="0000FF"/>
        </w:rPr>
        <w:t xml:space="preserve">Cheikhyoussef </w:t>
      </w:r>
      <w:r w:rsidRPr="003015C7">
        <w:rPr>
          <w:i/>
          <w:iCs/>
          <w:color w:val="0000FF"/>
        </w:rPr>
        <w:t>et al</w:t>
      </w:r>
      <w:r w:rsidRPr="003015C7">
        <w:rPr>
          <w:color w:val="0000FF"/>
        </w:rPr>
        <w:t>., 2008)</w:t>
      </w:r>
      <w:r w:rsidRPr="003015C7">
        <w:t xml:space="preserve">. </w:t>
      </w:r>
    </w:p>
    <w:p w:rsidR="001548BA" w:rsidRPr="003015C7" w:rsidRDefault="001548BA" w:rsidP="001548BA">
      <w:pPr>
        <w:autoSpaceDE w:val="0"/>
        <w:autoSpaceDN w:val="0"/>
        <w:adjustRightInd w:val="0"/>
        <w:spacing w:before="120" w:after="120" w:line="360" w:lineRule="auto"/>
        <w:ind w:firstLine="708"/>
        <w:jc w:val="both"/>
      </w:pPr>
      <w:r w:rsidRPr="00A35883">
        <w:rPr>
          <w:color w:val="0000FF"/>
        </w:rPr>
        <w:t>Montville et kaiser</w:t>
      </w:r>
      <w:r>
        <w:rPr>
          <w:color w:val="0000FF"/>
        </w:rPr>
        <w:t>,</w:t>
      </w:r>
      <w:r w:rsidRPr="00A35883">
        <w:rPr>
          <w:color w:val="0000FF"/>
        </w:rPr>
        <w:t xml:space="preserve"> (1993</w:t>
      </w:r>
      <w:r>
        <w:rPr>
          <w:color w:val="0000FF"/>
        </w:rPr>
        <w:t xml:space="preserve">) </w:t>
      </w:r>
      <w:r w:rsidRPr="00A35883">
        <w:t>avaient</w:t>
      </w:r>
      <w:r w:rsidRPr="003015C7">
        <w:t xml:space="preserve"> suggér</w:t>
      </w:r>
      <w:r>
        <w:t xml:space="preserve">é </w:t>
      </w:r>
      <w:r w:rsidRPr="003015C7">
        <w:t>que la définition des bactériocine</w:t>
      </w:r>
      <w:r>
        <w:t>s</w:t>
      </w:r>
      <w:r w:rsidRPr="003015C7">
        <w:t xml:space="preserve"> doit se bas</w:t>
      </w:r>
      <w:r>
        <w:t>er</w:t>
      </w:r>
      <w:r w:rsidRPr="003015C7">
        <w:t xml:space="preserve"> sa nature protéique et l’absence de lét</w:t>
      </w:r>
      <w:r>
        <w:t>a</w:t>
      </w:r>
      <w:r w:rsidRPr="003015C7">
        <w:t>lité</w:t>
      </w:r>
      <w:r>
        <w:t xml:space="preserve"> pour la cellule productrice</w:t>
      </w:r>
      <w:r>
        <w:rPr>
          <w:color w:val="0000FF"/>
        </w:rPr>
        <w:t>.</w:t>
      </w:r>
    </w:p>
    <w:p w:rsidR="001548BA" w:rsidRPr="00A35883" w:rsidRDefault="001548BA" w:rsidP="001548BA">
      <w:pPr>
        <w:autoSpaceDE w:val="0"/>
        <w:autoSpaceDN w:val="0"/>
        <w:adjustRightInd w:val="0"/>
        <w:spacing w:before="120" w:after="120" w:line="360" w:lineRule="auto"/>
        <w:jc w:val="both"/>
      </w:pPr>
      <w:r w:rsidRPr="003015C7">
        <w:rPr>
          <w:color w:val="FF0000"/>
        </w:rPr>
        <w:t xml:space="preserve"> </w:t>
      </w:r>
      <w:r w:rsidRPr="00A35883">
        <w:t>Structure chimique des bactériocines</w:t>
      </w:r>
      <w:r>
        <w:t>.</w:t>
      </w:r>
      <w:r w:rsidRPr="00A35883">
        <w:t xml:space="preserve"> </w:t>
      </w:r>
    </w:p>
    <w:p w:rsidR="001548BA" w:rsidRPr="003015C7" w:rsidRDefault="001548BA" w:rsidP="001548BA">
      <w:pPr>
        <w:autoSpaceDE w:val="0"/>
        <w:autoSpaceDN w:val="0"/>
        <w:adjustRightInd w:val="0"/>
        <w:spacing w:before="120" w:after="120" w:line="360" w:lineRule="auto"/>
        <w:ind w:firstLine="708"/>
        <w:jc w:val="both"/>
      </w:pPr>
      <w:r w:rsidRPr="003015C7">
        <w:t>Plusieurs bactériocines produites par différentes bactéries lactiques ont été étudiées, mais les travaux portant sur leur nature chimique sont plus rares. La nisine est la bactériocine la plus étudiée du point de vue structure chimique et déterminants génétiques (</w:t>
      </w:r>
      <w:r w:rsidRPr="003015C7">
        <w:rPr>
          <w:color w:val="0000FF"/>
        </w:rPr>
        <w:t xml:space="preserve">Jack </w:t>
      </w:r>
      <w:r w:rsidRPr="003015C7">
        <w:rPr>
          <w:i/>
          <w:iCs/>
          <w:color w:val="0000FF"/>
        </w:rPr>
        <w:t>et al</w:t>
      </w:r>
      <w:r w:rsidRPr="003015C7">
        <w:rPr>
          <w:color w:val="0000FF"/>
        </w:rPr>
        <w:t>., 1995)</w:t>
      </w:r>
      <w:r w:rsidRPr="003015C7">
        <w:t>. </w:t>
      </w:r>
    </w:p>
    <w:p w:rsidR="001548BA" w:rsidRDefault="001548BA" w:rsidP="001548BA">
      <w:pPr>
        <w:autoSpaceDE w:val="0"/>
        <w:autoSpaceDN w:val="0"/>
        <w:adjustRightInd w:val="0"/>
        <w:spacing w:before="120" w:after="120" w:line="360" w:lineRule="auto"/>
        <w:jc w:val="both"/>
      </w:pPr>
      <w:r w:rsidRPr="003015C7">
        <w:t xml:space="preserve">               Les bactériocines diffèrent  les unes des autres en fonction de leur sensibilité aux variations de pH et de température. Plusieurs bactériocines produites par les bactéries lactiques sont stables à pH acide et à pH neutre et elles sont inactivées à pH supérieur à 8. La résistance à la chaleur, qui est une caractéristique majeure de plusieurs bactériocines des bactéries lactiques, peut varier considérablement dans une marge de </w:t>
      </w:r>
      <w:smartTag w:uri="urn:schemas-microsoft-com:office:smarttags" w:element="metricconverter">
        <w:smartTagPr>
          <w:attr w:name="ProductID" w:val="60ﾰC"/>
        </w:smartTagPr>
        <w:r w:rsidRPr="003015C7">
          <w:t>60°C</w:t>
        </w:r>
      </w:smartTag>
      <w:r w:rsidRPr="003015C7">
        <w:t xml:space="preserve"> ou </w:t>
      </w:r>
      <w:smartTag w:uri="urn:schemas-microsoft-com:office:smarttags" w:element="metricconverter">
        <w:smartTagPr>
          <w:attr w:name="ProductID" w:val="100ﾰC"/>
        </w:smartTagPr>
        <w:r w:rsidRPr="003015C7">
          <w:t>100°C</w:t>
        </w:r>
      </w:smartTag>
      <w:r w:rsidRPr="003015C7">
        <w:t xml:space="preserve"> pour plus de 30 min à une température de </w:t>
      </w:r>
      <w:smartTag w:uri="urn:schemas-microsoft-com:office:smarttags" w:element="metricconverter">
        <w:smartTagPr>
          <w:attr w:name="ProductID" w:val="121ﾰC"/>
        </w:smartTagPr>
        <w:r w:rsidRPr="003015C7">
          <w:t>121°C</w:t>
        </w:r>
      </w:smartTag>
      <w:r w:rsidRPr="003015C7">
        <w:t xml:space="preserve"> pendant 15 à 20 min (</w:t>
      </w:r>
      <w:r w:rsidRPr="003015C7">
        <w:rPr>
          <w:color w:val="0000FF"/>
        </w:rPr>
        <w:t>De Vuyst et Frédéric Leroy, 2007</w:t>
      </w:r>
      <w:r w:rsidRPr="003015C7">
        <w:t>).</w:t>
      </w:r>
    </w:p>
    <w:p w:rsidR="001548BA" w:rsidRPr="0020696E" w:rsidRDefault="001548BA" w:rsidP="001548BA">
      <w:pPr>
        <w:autoSpaceDE w:val="0"/>
        <w:autoSpaceDN w:val="0"/>
        <w:adjustRightInd w:val="0"/>
        <w:spacing w:line="360" w:lineRule="auto"/>
        <w:ind w:firstLine="708"/>
        <w:jc w:val="both"/>
        <w:rPr>
          <w:b/>
          <w:bCs/>
        </w:rPr>
      </w:pPr>
      <w:r w:rsidRPr="00D90247">
        <w:rPr>
          <w:b/>
          <w:sz w:val="28"/>
          <w:szCs w:val="28"/>
        </w:rPr>
        <w:t>III</w:t>
      </w:r>
      <w:r w:rsidRPr="00A916D5">
        <w:rPr>
          <w:b/>
        </w:rPr>
        <w:t>.</w:t>
      </w:r>
      <w:r>
        <w:rPr>
          <w:b/>
        </w:rPr>
        <w:t>3</w:t>
      </w:r>
      <w:r w:rsidRPr="00A916D5">
        <w:rPr>
          <w:b/>
        </w:rPr>
        <w:t xml:space="preserve">. </w:t>
      </w:r>
      <w:r w:rsidRPr="0020696E">
        <w:rPr>
          <w:b/>
          <w:bCs/>
        </w:rPr>
        <w:t xml:space="preserve">Structure chimique des bactériocines             </w:t>
      </w:r>
    </w:p>
    <w:p w:rsidR="001548BA" w:rsidRPr="003015C7" w:rsidRDefault="001548BA" w:rsidP="001548BA">
      <w:pPr>
        <w:autoSpaceDE w:val="0"/>
        <w:autoSpaceDN w:val="0"/>
        <w:adjustRightInd w:val="0"/>
        <w:spacing w:line="360" w:lineRule="auto"/>
        <w:ind w:firstLine="708"/>
        <w:jc w:val="both"/>
      </w:pPr>
      <w:r w:rsidRPr="003015C7">
        <w:t xml:space="preserve">Plusieurs bactériocines produites par différentes bactéries lactiques ont été étudiées, mais les travaux portant sur leur nature chimique sont plus rares. </w:t>
      </w:r>
    </w:p>
    <w:p w:rsidR="001548BA" w:rsidRPr="003015C7" w:rsidRDefault="001548BA" w:rsidP="001548BA">
      <w:pPr>
        <w:autoSpaceDE w:val="0"/>
        <w:autoSpaceDN w:val="0"/>
        <w:adjustRightInd w:val="0"/>
        <w:spacing w:before="120" w:after="120" w:line="360" w:lineRule="auto"/>
        <w:ind w:firstLine="708"/>
        <w:jc w:val="both"/>
      </w:pPr>
      <w:r w:rsidRPr="003015C7">
        <w:t xml:space="preserve">Les bactériocines diffèrent  les unes des autres </w:t>
      </w:r>
      <w:r>
        <w:t>par</w:t>
      </w:r>
      <w:r w:rsidRPr="003015C7">
        <w:t xml:space="preserve"> leur sensibilité aux variations de pH et de température. Plusieurs bactériocines produites par les bactéries lactiques sont stables à pH acide et à pH neutre et elles sont inactivées à pH supérieur à 8. La </w:t>
      </w:r>
      <w:r w:rsidRPr="003015C7">
        <w:lastRenderedPageBreak/>
        <w:t xml:space="preserve">résistance à la chaleur, qui est une caractéristique majeure de plusieurs bactériocines des bactéries lactiques, peut varier considérablement dans une marge de </w:t>
      </w:r>
      <w:smartTag w:uri="urn:schemas-microsoft-com:office:smarttags" w:element="metricconverter">
        <w:smartTagPr>
          <w:attr w:name="ProductID" w:val="60ﾰC"/>
        </w:smartTagPr>
        <w:r w:rsidRPr="003015C7">
          <w:t>60°C</w:t>
        </w:r>
      </w:smartTag>
      <w:r w:rsidRPr="003015C7">
        <w:t xml:space="preserve"> ou </w:t>
      </w:r>
      <w:smartTag w:uri="urn:schemas-microsoft-com:office:smarttags" w:element="metricconverter">
        <w:smartTagPr>
          <w:attr w:name="ProductID" w:val="100ﾰC"/>
        </w:smartTagPr>
        <w:r w:rsidRPr="003015C7">
          <w:t>100°C</w:t>
        </w:r>
      </w:smartTag>
      <w:r w:rsidRPr="003015C7">
        <w:t xml:space="preserve"> pour plus de 30 min à une température de </w:t>
      </w:r>
      <w:smartTag w:uri="urn:schemas-microsoft-com:office:smarttags" w:element="metricconverter">
        <w:smartTagPr>
          <w:attr w:name="ProductID" w:val="121ﾰC"/>
        </w:smartTagPr>
        <w:r w:rsidRPr="003015C7">
          <w:t>121°C</w:t>
        </w:r>
      </w:smartTag>
      <w:r w:rsidRPr="003015C7">
        <w:t xml:space="preserve"> pendant 15 à 20 min (</w:t>
      </w:r>
      <w:r w:rsidRPr="003015C7">
        <w:rPr>
          <w:color w:val="0000FF"/>
        </w:rPr>
        <w:t>De Vuyst et Frédéric Leroy, 2007</w:t>
      </w:r>
      <w:r w:rsidRPr="00491804">
        <w:rPr>
          <w:color w:val="0000FF"/>
        </w:rPr>
        <w:t>)</w:t>
      </w:r>
      <w:r w:rsidRPr="003015C7">
        <w:t>.</w:t>
      </w:r>
    </w:p>
    <w:p w:rsidR="001548BA" w:rsidRPr="003015C7" w:rsidRDefault="001548BA" w:rsidP="001548BA">
      <w:pPr>
        <w:autoSpaceDE w:val="0"/>
        <w:autoSpaceDN w:val="0"/>
        <w:adjustRightInd w:val="0"/>
        <w:spacing w:before="120" w:after="120" w:line="360" w:lineRule="auto"/>
        <w:ind w:firstLine="708"/>
        <w:jc w:val="both"/>
        <w:rPr>
          <w:color w:val="FF0000"/>
        </w:rPr>
      </w:pPr>
      <w:r w:rsidRPr="00D90247">
        <w:rPr>
          <w:b/>
          <w:sz w:val="28"/>
          <w:szCs w:val="28"/>
        </w:rPr>
        <w:t>III</w:t>
      </w:r>
      <w:r w:rsidRPr="00A916D5">
        <w:rPr>
          <w:b/>
        </w:rPr>
        <w:t>.</w:t>
      </w:r>
      <w:r>
        <w:rPr>
          <w:b/>
        </w:rPr>
        <w:t>4</w:t>
      </w:r>
      <w:r w:rsidRPr="00A916D5">
        <w:rPr>
          <w:b/>
        </w:rPr>
        <w:t xml:space="preserve">. </w:t>
      </w:r>
      <w:r w:rsidRPr="008310B5">
        <w:rPr>
          <w:b/>
          <w:bCs/>
        </w:rPr>
        <w:t>Classification des bactériocines</w:t>
      </w:r>
    </w:p>
    <w:p w:rsidR="001548BA" w:rsidRPr="003015C7" w:rsidRDefault="001548BA" w:rsidP="001548BA">
      <w:pPr>
        <w:autoSpaceDE w:val="0"/>
        <w:autoSpaceDN w:val="0"/>
        <w:adjustRightInd w:val="0"/>
        <w:spacing w:before="120" w:after="120" w:line="360" w:lineRule="auto"/>
        <w:ind w:firstLine="708"/>
        <w:jc w:val="both"/>
      </w:pPr>
      <w:r w:rsidRPr="003015C7">
        <w:t xml:space="preserve">Les bactériocines  sont réparties en quatre classes, comme proposé par </w:t>
      </w:r>
      <w:r w:rsidRPr="00491804">
        <w:rPr>
          <w:color w:val="0000FF"/>
        </w:rPr>
        <w:t>Klaenhammer (1993)</w:t>
      </w:r>
      <w:r w:rsidRPr="003015C7">
        <w:t>.</w:t>
      </w:r>
    </w:p>
    <w:p w:rsidR="001548BA" w:rsidRPr="00EA7B8A" w:rsidRDefault="001548BA" w:rsidP="001548BA">
      <w:pPr>
        <w:autoSpaceDE w:val="0"/>
        <w:autoSpaceDN w:val="0"/>
        <w:adjustRightInd w:val="0"/>
        <w:spacing w:before="120" w:after="120" w:line="360" w:lineRule="auto"/>
        <w:ind w:firstLine="708"/>
        <w:jc w:val="both"/>
        <w:rPr>
          <w:b/>
          <w:bCs/>
        </w:rPr>
      </w:pPr>
      <w:r w:rsidRPr="00D90247">
        <w:rPr>
          <w:b/>
          <w:sz w:val="28"/>
          <w:szCs w:val="28"/>
        </w:rPr>
        <w:t>III</w:t>
      </w:r>
      <w:r w:rsidRPr="00A916D5">
        <w:rPr>
          <w:b/>
        </w:rPr>
        <w:t>.</w:t>
      </w:r>
      <w:r>
        <w:rPr>
          <w:b/>
        </w:rPr>
        <w:t>4</w:t>
      </w:r>
      <w:r w:rsidRPr="00A916D5">
        <w:rPr>
          <w:b/>
        </w:rPr>
        <w:t>.</w:t>
      </w:r>
      <w:r>
        <w:rPr>
          <w:b/>
        </w:rPr>
        <w:t>1.</w:t>
      </w:r>
      <w:r w:rsidRPr="00A916D5">
        <w:rPr>
          <w:b/>
        </w:rPr>
        <w:t xml:space="preserve"> </w:t>
      </w:r>
      <w:r w:rsidRPr="00EA7B8A">
        <w:rPr>
          <w:b/>
          <w:bCs/>
        </w:rPr>
        <w:t xml:space="preserve">Classe I : Les lantibiotiques </w:t>
      </w:r>
    </w:p>
    <w:p w:rsidR="001548BA" w:rsidRDefault="001548BA" w:rsidP="001548BA">
      <w:pPr>
        <w:autoSpaceDE w:val="0"/>
        <w:autoSpaceDN w:val="0"/>
        <w:adjustRightInd w:val="0"/>
        <w:spacing w:before="120" w:after="120" w:line="360" w:lineRule="auto"/>
        <w:ind w:firstLine="708"/>
        <w:jc w:val="both"/>
      </w:pPr>
      <w:r w:rsidRPr="003015C7">
        <w:t xml:space="preserve">Ce sont des peptides de taille inférieure à 5kDa qui contiennent des acides aminés inhabituels soufrés formés post-traductionnellement c’est à dire la lanthionine, la </w:t>
      </w:r>
      <w:r w:rsidRPr="003015C7">
        <w:rPr>
          <w:rFonts w:eastAsia="TimesNewRoman"/>
        </w:rPr>
        <w:t>β</w:t>
      </w:r>
      <w:r w:rsidRPr="003015C7">
        <w:t xml:space="preserve">-méthyl lanthionine, la déhydrobutyrine et la déhydroalanine. </w:t>
      </w:r>
    </w:p>
    <w:p w:rsidR="001548BA" w:rsidRPr="003015C7" w:rsidRDefault="001548BA" w:rsidP="001548BA">
      <w:pPr>
        <w:autoSpaceDE w:val="0"/>
        <w:autoSpaceDN w:val="0"/>
        <w:adjustRightInd w:val="0"/>
        <w:spacing w:before="120" w:after="120" w:line="360" w:lineRule="auto"/>
        <w:ind w:firstLine="708"/>
        <w:jc w:val="both"/>
      </w:pPr>
      <w:r w:rsidRPr="003015C7">
        <w:t>Ils sont stables à la chaleur. Ils peuvent être divisés en deux types : la classe Ia qui contient des peptides cationiques hydrophobes allongés contenant jusqu’à 34 acides aminés et la classe Ib qui contient les peptides globulaires chargés négativement ou sans charge nette et contenant jusqu’à 19 acides aminés</w:t>
      </w:r>
      <w:r>
        <w:t xml:space="preserve"> </w:t>
      </w:r>
      <w:r w:rsidRPr="003015C7">
        <w:rPr>
          <w:color w:val="0000FF"/>
        </w:rPr>
        <w:t xml:space="preserve">(Mc Auliffe </w:t>
      </w:r>
      <w:r w:rsidRPr="003015C7">
        <w:rPr>
          <w:i/>
          <w:iCs/>
          <w:color w:val="0000FF"/>
        </w:rPr>
        <w:t xml:space="preserve">et al., </w:t>
      </w:r>
      <w:r w:rsidRPr="003015C7">
        <w:rPr>
          <w:color w:val="0000FF"/>
        </w:rPr>
        <w:t>2001)</w:t>
      </w:r>
      <w:r w:rsidRPr="003015C7">
        <w:t>. Les séquences et structure</w:t>
      </w:r>
      <w:r>
        <w:t>s</w:t>
      </w:r>
      <w:r w:rsidRPr="003015C7">
        <w:t xml:space="preserve"> de quelques lantibiotiques </w:t>
      </w:r>
      <w:r>
        <w:t>sont reportées sur</w:t>
      </w:r>
      <w:r w:rsidRPr="003015C7">
        <w:t xml:space="preserve"> la </w:t>
      </w:r>
      <w:r w:rsidRPr="00491804">
        <w:rPr>
          <w:color w:val="0000FF"/>
        </w:rPr>
        <w:t xml:space="preserve">figure </w:t>
      </w:r>
      <w:r>
        <w:rPr>
          <w:color w:val="0000FF"/>
        </w:rPr>
        <w:t>9</w:t>
      </w:r>
    </w:p>
    <w:p w:rsidR="001548BA" w:rsidRPr="00491804" w:rsidRDefault="001548BA" w:rsidP="001548BA">
      <w:pPr>
        <w:autoSpaceDE w:val="0"/>
        <w:autoSpaceDN w:val="0"/>
        <w:adjustRightInd w:val="0"/>
        <w:spacing w:before="120" w:after="120" w:line="360" w:lineRule="auto"/>
        <w:ind w:firstLine="708"/>
        <w:jc w:val="both"/>
        <w:rPr>
          <w:b/>
          <w:bCs/>
        </w:rPr>
      </w:pPr>
      <w:r w:rsidRPr="00D90247">
        <w:rPr>
          <w:b/>
          <w:sz w:val="28"/>
          <w:szCs w:val="28"/>
        </w:rPr>
        <w:t>III</w:t>
      </w:r>
      <w:r w:rsidRPr="00A916D5">
        <w:rPr>
          <w:b/>
        </w:rPr>
        <w:t>.</w:t>
      </w:r>
      <w:r>
        <w:rPr>
          <w:b/>
        </w:rPr>
        <w:t>4</w:t>
      </w:r>
      <w:r w:rsidRPr="00A916D5">
        <w:rPr>
          <w:b/>
        </w:rPr>
        <w:t>.</w:t>
      </w:r>
      <w:r>
        <w:rPr>
          <w:b/>
        </w:rPr>
        <w:t>2.</w:t>
      </w:r>
      <w:r w:rsidRPr="00A916D5">
        <w:rPr>
          <w:b/>
        </w:rPr>
        <w:t xml:space="preserve"> </w:t>
      </w:r>
      <w:r w:rsidRPr="00491804">
        <w:rPr>
          <w:b/>
          <w:bCs/>
        </w:rPr>
        <w:t>Classe II</w:t>
      </w:r>
    </w:p>
    <w:p w:rsidR="001548BA" w:rsidRPr="003015C7" w:rsidRDefault="001548BA" w:rsidP="001548BA">
      <w:pPr>
        <w:autoSpaceDE w:val="0"/>
        <w:autoSpaceDN w:val="0"/>
        <w:adjustRightInd w:val="0"/>
        <w:spacing w:before="120" w:after="120" w:line="360" w:lineRule="auto"/>
        <w:ind w:firstLine="708"/>
        <w:jc w:val="both"/>
        <w:rPr>
          <w:color w:val="FF0000"/>
        </w:rPr>
      </w:pPr>
      <w:r w:rsidRPr="003015C7">
        <w:t>Peptides de taille inférieure à 10kDa, stables à la chaleur, ne contenant pas d’acides</w:t>
      </w:r>
      <w:r>
        <w:t xml:space="preserve"> a</w:t>
      </w:r>
      <w:r w:rsidRPr="003015C7">
        <w:t>minés modifiés et chargés positivement à un pH neutre. Les séquences de quelques bactériocines appartenant à cette classe se trouvent au tableau 1. Cette classe est divisée en trois sous classes</w:t>
      </w:r>
      <w:r w:rsidRPr="003015C7">
        <w:rPr>
          <w:color w:val="FF0000"/>
        </w:rPr>
        <w:t xml:space="preserve"> </w:t>
      </w:r>
      <w:r w:rsidRPr="003015C7">
        <w:rPr>
          <w:color w:val="0000FF"/>
        </w:rPr>
        <w:t>(Guyonnet</w:t>
      </w:r>
      <w:r w:rsidRPr="003015C7">
        <w:rPr>
          <w:i/>
          <w:iCs/>
          <w:color w:val="0000FF"/>
        </w:rPr>
        <w:t xml:space="preserve"> et al</w:t>
      </w:r>
      <w:r w:rsidRPr="003015C7">
        <w:rPr>
          <w:color w:val="0000FF"/>
        </w:rPr>
        <w:t>., 2000</w:t>
      </w:r>
      <w:r>
        <w:rPr>
          <w:color w:val="0000FF"/>
        </w:rPr>
        <w:t xml:space="preserve"> </w:t>
      </w:r>
      <w:r w:rsidRPr="003015C7">
        <w:rPr>
          <w:color w:val="0000FF"/>
        </w:rPr>
        <w:t>;</w:t>
      </w:r>
      <w:r>
        <w:rPr>
          <w:color w:val="0000FF"/>
        </w:rPr>
        <w:t xml:space="preserve"> </w:t>
      </w:r>
      <w:r w:rsidRPr="003015C7">
        <w:rPr>
          <w:color w:val="0000FF"/>
        </w:rPr>
        <w:t xml:space="preserve">Drider </w:t>
      </w:r>
      <w:r w:rsidRPr="003015C7">
        <w:rPr>
          <w:i/>
          <w:iCs/>
          <w:color w:val="0000FF"/>
        </w:rPr>
        <w:t>et al</w:t>
      </w:r>
      <w:r w:rsidRPr="003015C7">
        <w:rPr>
          <w:color w:val="0000FF"/>
        </w:rPr>
        <w:t>., 2006 )</w:t>
      </w:r>
      <w:r w:rsidRPr="003015C7">
        <w:t>.</w:t>
      </w:r>
    </w:p>
    <w:p w:rsidR="001548BA" w:rsidRDefault="001548BA" w:rsidP="001548BA">
      <w:pPr>
        <w:tabs>
          <w:tab w:val="left" w:pos="709"/>
          <w:tab w:val="left" w:pos="1450"/>
        </w:tabs>
        <w:spacing w:line="360" w:lineRule="auto"/>
        <w:jc w:val="both"/>
      </w:pPr>
      <w:r>
        <w:t xml:space="preserve">           </w:t>
      </w:r>
      <w:r w:rsidRPr="003015C7">
        <w:t xml:space="preserve">Les bactériocines de la sous classe IIa contiennent entre 27 et 48 acides aminés qui ont </w:t>
      </w:r>
      <w:r>
        <w:t>tous</w:t>
      </w:r>
      <w:r w:rsidRPr="003015C7">
        <w:t xml:space="preserve"> une partie N-terminale hydrophobe contenant la séquence consensus YGNGV ainsi qu’un pont disulfure et une partie C-terminale moins conservée, hydrophobe ou amphiphile qui détermine la spécificité d’action </w:t>
      </w:r>
      <w:r w:rsidRPr="003015C7">
        <w:rPr>
          <w:color w:val="0000FF"/>
        </w:rPr>
        <w:t xml:space="preserve">(Fimland </w:t>
      </w:r>
      <w:r w:rsidRPr="003015C7">
        <w:rPr>
          <w:i/>
          <w:iCs/>
          <w:color w:val="0000FF"/>
        </w:rPr>
        <w:t xml:space="preserve">et al., </w:t>
      </w:r>
      <w:r w:rsidRPr="003015C7">
        <w:rPr>
          <w:color w:val="0000FF"/>
        </w:rPr>
        <w:t>2000 ;</w:t>
      </w:r>
    </w:p>
    <w:p w:rsidR="001548BA" w:rsidRPr="003015C7" w:rsidRDefault="001548BA" w:rsidP="001548BA">
      <w:pPr>
        <w:autoSpaceDE w:val="0"/>
        <w:autoSpaceDN w:val="0"/>
        <w:adjustRightInd w:val="0"/>
        <w:spacing w:before="120" w:after="120" w:line="360" w:lineRule="auto"/>
        <w:ind w:firstLine="708"/>
        <w:jc w:val="both"/>
      </w:pPr>
      <w:r w:rsidRPr="003015C7">
        <w:rPr>
          <w:color w:val="0000FF"/>
        </w:rPr>
        <w:t xml:space="preserve">Richard </w:t>
      </w:r>
      <w:r w:rsidRPr="003015C7">
        <w:rPr>
          <w:i/>
          <w:iCs/>
          <w:color w:val="0000FF"/>
        </w:rPr>
        <w:t>et al</w:t>
      </w:r>
      <w:r w:rsidRPr="003015C7">
        <w:rPr>
          <w:color w:val="0000FF"/>
        </w:rPr>
        <w:t>., 2006)</w:t>
      </w:r>
      <w:r w:rsidRPr="003015C7">
        <w:t xml:space="preserve">. Leur point isoélectrique varie entre 8 et 10. Elles ont toutes une activité contre </w:t>
      </w:r>
      <w:r w:rsidRPr="003015C7">
        <w:rPr>
          <w:i/>
          <w:iCs/>
        </w:rPr>
        <w:t>L. monocytogenes</w:t>
      </w:r>
      <w:r w:rsidRPr="003015C7">
        <w:t>.</w:t>
      </w:r>
    </w:p>
    <w:p w:rsidR="001548BA" w:rsidRPr="00367FE7" w:rsidRDefault="001548BA" w:rsidP="001548BA">
      <w:pPr>
        <w:spacing w:line="360" w:lineRule="auto"/>
        <w:ind w:firstLine="709"/>
        <w:jc w:val="both"/>
      </w:pPr>
      <w:r w:rsidRPr="003015C7">
        <w:t>Certaines bactériocines de cette sous-classe contiennent également un deuxième pont disulfu</w:t>
      </w:r>
      <w:r>
        <w:t>re dans leur domaine C-terminal</w:t>
      </w:r>
      <w:r w:rsidRPr="003015C7">
        <w:t xml:space="preserve"> qui semble être important dans la stabilisation de la structure tertiaire.</w:t>
      </w:r>
    </w:p>
    <w:p w:rsidR="001548BA" w:rsidRDefault="001548BA" w:rsidP="001548BA"/>
    <w:p w:rsidR="001548BA" w:rsidRDefault="001548BA" w:rsidP="001548BA"/>
    <w:p w:rsidR="001548BA" w:rsidRDefault="001548BA" w:rsidP="001548BA">
      <w:pPr>
        <w:tabs>
          <w:tab w:val="left" w:pos="2038"/>
        </w:tabs>
      </w:pPr>
      <w:r>
        <w:tab/>
      </w:r>
    </w:p>
    <w:p w:rsidR="001548BA" w:rsidRDefault="001548BA" w:rsidP="001548BA">
      <w:pPr>
        <w:tabs>
          <w:tab w:val="left" w:pos="1420"/>
        </w:tabs>
      </w:pPr>
      <w:r>
        <w:tab/>
      </w:r>
    </w:p>
    <w:p w:rsidR="001548BA" w:rsidRDefault="001548BA" w:rsidP="001548BA">
      <w:pPr>
        <w:tabs>
          <w:tab w:val="left" w:pos="1420"/>
        </w:tabs>
      </w:pPr>
    </w:p>
    <w:p w:rsidR="001548BA" w:rsidRPr="00367FE7" w:rsidRDefault="001548BA" w:rsidP="001548BA">
      <w:pPr>
        <w:tabs>
          <w:tab w:val="left" w:pos="1420"/>
        </w:tabs>
      </w:pPr>
    </w:p>
    <w:p w:rsidR="001548BA" w:rsidRPr="003015C7" w:rsidRDefault="001548BA" w:rsidP="001548BA">
      <w:pPr>
        <w:autoSpaceDE w:val="0"/>
        <w:autoSpaceDN w:val="0"/>
        <w:adjustRightInd w:val="0"/>
        <w:spacing w:before="120" w:after="120" w:line="360" w:lineRule="auto"/>
        <w:jc w:val="both"/>
      </w:pPr>
      <w:r>
        <w:rPr>
          <w:noProof/>
        </w:rPr>
        <w:drawing>
          <wp:inline distT="0" distB="0" distL="0" distR="0">
            <wp:extent cx="5753100" cy="4305300"/>
            <wp:effectExtent l="19050" t="0" r="0" b="0"/>
            <wp:docPr id="3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753100" cy="4305300"/>
                    </a:xfrm>
                    <a:prstGeom prst="rect">
                      <a:avLst/>
                    </a:prstGeom>
                    <a:noFill/>
                    <a:ln w="9525">
                      <a:noFill/>
                      <a:miter lim="800000"/>
                      <a:headEnd/>
                      <a:tailEnd/>
                    </a:ln>
                  </pic:spPr>
                </pic:pic>
              </a:graphicData>
            </a:graphic>
          </wp:inline>
        </w:drawing>
      </w:r>
    </w:p>
    <w:p w:rsidR="001548BA" w:rsidRDefault="001548BA" w:rsidP="001548BA">
      <w:pPr>
        <w:autoSpaceDE w:val="0"/>
        <w:autoSpaceDN w:val="0"/>
        <w:adjustRightInd w:val="0"/>
        <w:spacing w:before="120" w:after="120" w:line="360" w:lineRule="auto"/>
        <w:jc w:val="both"/>
        <w:rPr>
          <w:b/>
          <w:bCs/>
        </w:rPr>
      </w:pPr>
    </w:p>
    <w:p w:rsidR="001548BA" w:rsidRDefault="001548BA" w:rsidP="001548BA">
      <w:pPr>
        <w:autoSpaceDE w:val="0"/>
        <w:autoSpaceDN w:val="0"/>
        <w:adjustRightInd w:val="0"/>
        <w:spacing w:before="120" w:after="120" w:line="360" w:lineRule="auto"/>
        <w:jc w:val="both"/>
        <w:rPr>
          <w:b/>
          <w:bCs/>
        </w:rPr>
      </w:pPr>
    </w:p>
    <w:p w:rsidR="001548BA" w:rsidRPr="003015C7" w:rsidRDefault="001548BA" w:rsidP="001548BA">
      <w:pPr>
        <w:autoSpaceDE w:val="0"/>
        <w:autoSpaceDN w:val="0"/>
        <w:adjustRightInd w:val="0"/>
        <w:spacing w:before="120" w:after="120" w:line="360" w:lineRule="auto"/>
        <w:jc w:val="both"/>
        <w:rPr>
          <w:b/>
          <w:bCs/>
        </w:rPr>
      </w:pPr>
      <w:r w:rsidRPr="00367FE7">
        <w:rPr>
          <w:b/>
          <w:bCs/>
          <w:u w:val="single"/>
        </w:rPr>
        <w:t xml:space="preserve">Figure </w:t>
      </w:r>
      <w:r>
        <w:rPr>
          <w:b/>
          <w:bCs/>
          <w:u w:val="single"/>
        </w:rPr>
        <w:t>9</w:t>
      </w:r>
      <w:r w:rsidRPr="003015C7">
        <w:rPr>
          <w:b/>
          <w:bCs/>
        </w:rPr>
        <w:t xml:space="preserve"> : </w:t>
      </w:r>
      <w:r w:rsidRPr="003015C7">
        <w:t xml:space="preserve">Structure représentative de variétés de Lantibiotiques </w:t>
      </w:r>
      <w:r w:rsidRPr="003015C7">
        <w:rPr>
          <w:color w:val="0000FF"/>
        </w:rPr>
        <w:t xml:space="preserve">(Patton </w:t>
      </w:r>
      <w:r w:rsidRPr="003015C7">
        <w:rPr>
          <w:i/>
          <w:iCs/>
          <w:color w:val="0000FF"/>
        </w:rPr>
        <w:t>et al</w:t>
      </w:r>
      <w:r w:rsidRPr="003015C7">
        <w:rPr>
          <w:color w:val="0000FF"/>
        </w:rPr>
        <w:t>., 2005)</w:t>
      </w:r>
      <w:r w:rsidRPr="003015C7">
        <w:t>.</w:t>
      </w:r>
    </w:p>
    <w:p w:rsidR="001548BA" w:rsidRDefault="001548BA" w:rsidP="001548BA">
      <w:pPr>
        <w:autoSpaceDE w:val="0"/>
        <w:autoSpaceDN w:val="0"/>
        <w:adjustRightInd w:val="0"/>
        <w:spacing w:before="120" w:after="120" w:line="360" w:lineRule="auto"/>
        <w:ind w:firstLine="708"/>
        <w:jc w:val="both"/>
      </w:pPr>
    </w:p>
    <w:p w:rsidR="001548BA" w:rsidRDefault="001548BA" w:rsidP="001548BA">
      <w:pPr>
        <w:autoSpaceDE w:val="0"/>
        <w:autoSpaceDN w:val="0"/>
        <w:adjustRightInd w:val="0"/>
        <w:spacing w:before="120" w:after="120" w:line="360" w:lineRule="auto"/>
        <w:ind w:firstLine="708"/>
        <w:jc w:val="both"/>
        <w:rPr>
          <w:color w:val="FF0000"/>
        </w:rPr>
      </w:pPr>
      <w:r w:rsidRPr="003015C7">
        <w:t>Ces bactériocines semblent</w:t>
      </w:r>
      <w:r>
        <w:t>,</w:t>
      </w:r>
      <w:r w:rsidRPr="003015C7">
        <w:t xml:space="preserve"> par ailleurs</w:t>
      </w:r>
      <w:r>
        <w:t>,</w:t>
      </w:r>
      <w:r w:rsidRPr="003015C7">
        <w:t xml:space="preserve"> avoir une meilleure activité antimicrobienne, une meilleure résistance à l’exposition à des hautes températures et un spectre d’action plus large </w:t>
      </w:r>
      <w:r w:rsidRPr="003015C7">
        <w:rPr>
          <w:color w:val="0000FF"/>
        </w:rPr>
        <w:t xml:space="preserve">(Eijsink </w:t>
      </w:r>
      <w:r w:rsidRPr="003015C7">
        <w:rPr>
          <w:i/>
          <w:iCs/>
          <w:color w:val="0000FF"/>
        </w:rPr>
        <w:t xml:space="preserve">et al., </w:t>
      </w:r>
      <w:r w:rsidRPr="003015C7">
        <w:rPr>
          <w:color w:val="0000FF"/>
        </w:rPr>
        <w:t xml:space="preserve">1998 ; Fimland </w:t>
      </w:r>
      <w:r w:rsidRPr="003015C7">
        <w:rPr>
          <w:i/>
          <w:iCs/>
          <w:color w:val="0000FF"/>
        </w:rPr>
        <w:t xml:space="preserve">et al., </w:t>
      </w:r>
      <w:r w:rsidRPr="003015C7">
        <w:rPr>
          <w:color w:val="0000FF"/>
        </w:rPr>
        <w:t xml:space="preserve">2000 ; Drider </w:t>
      </w:r>
      <w:r w:rsidRPr="003015C7">
        <w:rPr>
          <w:i/>
          <w:iCs/>
          <w:color w:val="0000FF"/>
        </w:rPr>
        <w:t xml:space="preserve">et al., </w:t>
      </w:r>
      <w:r w:rsidRPr="003015C7">
        <w:rPr>
          <w:color w:val="0000FF"/>
        </w:rPr>
        <w:t xml:space="preserve">2006 ; Richard </w:t>
      </w:r>
      <w:r w:rsidRPr="003015C7">
        <w:rPr>
          <w:i/>
          <w:iCs/>
          <w:color w:val="0000FF"/>
        </w:rPr>
        <w:t>et al</w:t>
      </w:r>
      <w:r w:rsidRPr="003015C7">
        <w:rPr>
          <w:color w:val="0000FF"/>
        </w:rPr>
        <w:t>., 2006)</w:t>
      </w:r>
      <w:r w:rsidRPr="003015C7">
        <w:t>.</w:t>
      </w:r>
      <w:r w:rsidRPr="003015C7">
        <w:rPr>
          <w:color w:val="FF0000"/>
        </w:rPr>
        <w:t xml:space="preserve"> </w:t>
      </w:r>
    </w:p>
    <w:p w:rsidR="001548BA" w:rsidRPr="003015C7" w:rsidRDefault="001548BA" w:rsidP="001548BA">
      <w:pPr>
        <w:autoSpaceDE w:val="0"/>
        <w:autoSpaceDN w:val="0"/>
        <w:adjustRightInd w:val="0"/>
        <w:spacing w:before="120" w:after="120" w:line="360" w:lineRule="auto"/>
        <w:ind w:firstLine="708"/>
        <w:jc w:val="both"/>
        <w:rPr>
          <w:color w:val="FF0000"/>
        </w:rPr>
      </w:pPr>
      <w:r w:rsidRPr="003015C7">
        <w:t>Cependa</w:t>
      </w:r>
      <w:r>
        <w:t>nt, d’autres études ont suggéré</w:t>
      </w:r>
      <w:r w:rsidRPr="003015C7">
        <w:t xml:space="preserve"> que la séquence en acides aminés de ce domaine C-terminal était le facteur prédominant </w:t>
      </w:r>
      <w:r w:rsidRPr="003015C7">
        <w:rPr>
          <w:color w:val="0000FF"/>
        </w:rPr>
        <w:t xml:space="preserve">(Fimland </w:t>
      </w:r>
      <w:r w:rsidRPr="003015C7">
        <w:rPr>
          <w:i/>
          <w:iCs/>
          <w:color w:val="0000FF"/>
        </w:rPr>
        <w:t xml:space="preserve">et al., </w:t>
      </w:r>
      <w:r w:rsidRPr="003015C7">
        <w:rPr>
          <w:color w:val="0000FF"/>
        </w:rPr>
        <w:t>2002 ; Johnsen</w:t>
      </w:r>
      <w:r>
        <w:rPr>
          <w:color w:val="0000FF"/>
        </w:rPr>
        <w:t xml:space="preserve"> </w:t>
      </w:r>
      <w:r w:rsidRPr="003015C7">
        <w:rPr>
          <w:i/>
          <w:iCs/>
          <w:color w:val="0000FF"/>
        </w:rPr>
        <w:t>et al.</w:t>
      </w:r>
      <w:r w:rsidRPr="003015C7">
        <w:rPr>
          <w:color w:val="0000FF"/>
        </w:rPr>
        <w:t>, 2005)</w:t>
      </w:r>
      <w:r w:rsidRPr="003015C7">
        <w:t>.</w:t>
      </w:r>
      <w:r w:rsidRPr="003015C7">
        <w:rPr>
          <w:color w:val="FF0000"/>
        </w:rPr>
        <w:t xml:space="preserve"> </w:t>
      </w:r>
    </w:p>
    <w:p w:rsidR="001548BA" w:rsidRPr="003015C7" w:rsidRDefault="001548BA" w:rsidP="001548BA">
      <w:pPr>
        <w:autoSpaceDE w:val="0"/>
        <w:autoSpaceDN w:val="0"/>
        <w:adjustRightInd w:val="0"/>
        <w:spacing w:before="120" w:after="120" w:line="360" w:lineRule="auto"/>
        <w:ind w:firstLine="708"/>
        <w:jc w:val="both"/>
      </w:pPr>
      <w:r w:rsidRPr="003015C7">
        <w:lastRenderedPageBreak/>
        <w:t>La sous classe IIb contient les bactériocines ayant besoin de deux peptides pour avoir une activité. Deux types de bactériocines de classe IIb peuvent être distingué</w:t>
      </w:r>
      <w:r>
        <w:t>s</w:t>
      </w:r>
      <w:r w:rsidRPr="003015C7">
        <w:t xml:space="preserve"> : le type E (Enhancing) où la fonction d’un des deux peptides est d’augmenter l’activité de l’autre</w:t>
      </w:r>
      <w:r>
        <w:t>,</w:t>
      </w:r>
      <w:r w:rsidRPr="003015C7">
        <w:t xml:space="preserve"> et le type S (Synergy) où les deux peptides sont complémentaires, ils doivent être présents pour avoir une activité.</w:t>
      </w:r>
    </w:p>
    <w:p w:rsidR="001548BA" w:rsidRPr="003015C7" w:rsidRDefault="001548BA" w:rsidP="001548BA">
      <w:pPr>
        <w:autoSpaceDE w:val="0"/>
        <w:autoSpaceDN w:val="0"/>
        <w:adjustRightInd w:val="0"/>
        <w:spacing w:before="120" w:after="120" w:line="360" w:lineRule="auto"/>
        <w:ind w:firstLine="708"/>
        <w:jc w:val="both"/>
      </w:pPr>
      <w:r w:rsidRPr="003015C7">
        <w:t>La sous classe IIc contient les bactériocines ne pouvant pas être classées dans les autres sous classes.</w:t>
      </w:r>
    </w:p>
    <w:p w:rsidR="001548BA" w:rsidRPr="00A40F4B" w:rsidRDefault="001548BA" w:rsidP="001548BA">
      <w:pPr>
        <w:autoSpaceDE w:val="0"/>
        <w:autoSpaceDN w:val="0"/>
        <w:adjustRightInd w:val="0"/>
        <w:spacing w:before="120" w:after="120" w:line="360" w:lineRule="auto"/>
        <w:ind w:firstLine="708"/>
        <w:jc w:val="both"/>
        <w:rPr>
          <w:b/>
          <w:bCs/>
        </w:rPr>
      </w:pPr>
      <w:r w:rsidRPr="00D90247">
        <w:rPr>
          <w:b/>
          <w:sz w:val="28"/>
          <w:szCs w:val="28"/>
        </w:rPr>
        <w:t>III</w:t>
      </w:r>
      <w:r w:rsidRPr="00A916D5">
        <w:rPr>
          <w:b/>
        </w:rPr>
        <w:t>.</w:t>
      </w:r>
      <w:r>
        <w:rPr>
          <w:b/>
        </w:rPr>
        <w:t>4</w:t>
      </w:r>
      <w:r w:rsidRPr="00A916D5">
        <w:rPr>
          <w:b/>
        </w:rPr>
        <w:t>.</w:t>
      </w:r>
      <w:r>
        <w:rPr>
          <w:b/>
        </w:rPr>
        <w:t>3.</w:t>
      </w:r>
      <w:r w:rsidRPr="00A916D5">
        <w:rPr>
          <w:b/>
        </w:rPr>
        <w:t xml:space="preserve"> </w:t>
      </w:r>
      <w:r w:rsidRPr="00A40F4B">
        <w:rPr>
          <w:b/>
          <w:bCs/>
        </w:rPr>
        <w:t>Classe III</w:t>
      </w:r>
    </w:p>
    <w:p w:rsidR="001548BA" w:rsidRPr="003015C7" w:rsidRDefault="001548BA" w:rsidP="001548BA">
      <w:pPr>
        <w:autoSpaceDE w:val="0"/>
        <w:autoSpaceDN w:val="0"/>
        <w:adjustRightInd w:val="0"/>
        <w:spacing w:before="120" w:after="120" w:line="360" w:lineRule="auto"/>
        <w:ind w:firstLine="708"/>
        <w:jc w:val="both"/>
      </w:pPr>
      <w:r w:rsidRPr="003015C7">
        <w:t xml:space="preserve">Elle contient les protéines de taille supérieure à 30kDa et sensibles à la chaleur. La structure et le mode d’action de ces bactériocines diffèrent complètement des autre bactériocines produites par les bactéries lactiques. Cette classe ne contient que quatre bactériocines : l’helveticin J produite par </w:t>
      </w:r>
      <w:r w:rsidRPr="003015C7">
        <w:rPr>
          <w:i/>
          <w:iCs/>
        </w:rPr>
        <w:t>Lactobacillus helveticus</w:t>
      </w:r>
      <w:r w:rsidRPr="003015C7">
        <w:t xml:space="preserve"> A, l’enterolysin A produite par </w:t>
      </w:r>
      <w:r w:rsidRPr="003015C7">
        <w:rPr>
          <w:i/>
          <w:iCs/>
        </w:rPr>
        <w:t>Enterococcus faecium</w:t>
      </w:r>
      <w:r w:rsidRPr="003015C7">
        <w:t xml:space="preserve">, la zoocin A produite par </w:t>
      </w:r>
      <w:r w:rsidRPr="003015C7">
        <w:rPr>
          <w:i/>
          <w:iCs/>
        </w:rPr>
        <w:t>Streptococcus zooepidemicus</w:t>
      </w:r>
      <w:r w:rsidRPr="003015C7">
        <w:t xml:space="preserve"> et la millericin B produite par </w:t>
      </w:r>
      <w:r w:rsidRPr="003015C7">
        <w:rPr>
          <w:i/>
          <w:iCs/>
        </w:rPr>
        <w:t>Streptococcus milleri</w:t>
      </w:r>
      <w:r w:rsidRPr="003015C7">
        <w:t xml:space="preserve"> </w:t>
      </w:r>
      <w:r w:rsidRPr="00A40F4B">
        <w:rPr>
          <w:color w:val="0000FF"/>
        </w:rPr>
        <w:t>(</w:t>
      </w:r>
      <w:r w:rsidRPr="003015C7">
        <w:rPr>
          <w:color w:val="0000FF"/>
        </w:rPr>
        <w:t xml:space="preserve">Papagianni, 2003 ; De Jong </w:t>
      </w:r>
      <w:r w:rsidRPr="003015C7">
        <w:rPr>
          <w:i/>
          <w:iCs/>
          <w:color w:val="0000FF"/>
        </w:rPr>
        <w:t>et al</w:t>
      </w:r>
      <w:r w:rsidRPr="003015C7">
        <w:rPr>
          <w:color w:val="0000FF"/>
        </w:rPr>
        <w:t>., 2006</w:t>
      </w:r>
      <w:r w:rsidRPr="00A40F4B">
        <w:rPr>
          <w:color w:val="0000FF"/>
        </w:rPr>
        <w:t>)</w:t>
      </w:r>
      <w:r w:rsidRPr="003015C7">
        <w:t>.</w:t>
      </w:r>
    </w:p>
    <w:p w:rsidR="001548BA" w:rsidRPr="00A40F4B" w:rsidRDefault="001548BA" w:rsidP="001548BA">
      <w:pPr>
        <w:autoSpaceDE w:val="0"/>
        <w:autoSpaceDN w:val="0"/>
        <w:adjustRightInd w:val="0"/>
        <w:spacing w:before="120" w:after="120" w:line="360" w:lineRule="auto"/>
        <w:ind w:firstLine="708"/>
        <w:jc w:val="both"/>
        <w:rPr>
          <w:b/>
          <w:bCs/>
        </w:rPr>
      </w:pPr>
      <w:r w:rsidRPr="00D90247">
        <w:rPr>
          <w:b/>
          <w:sz w:val="28"/>
          <w:szCs w:val="28"/>
        </w:rPr>
        <w:t>III</w:t>
      </w:r>
      <w:r w:rsidRPr="00A916D5">
        <w:rPr>
          <w:b/>
        </w:rPr>
        <w:t>.</w:t>
      </w:r>
      <w:r>
        <w:rPr>
          <w:b/>
        </w:rPr>
        <w:t>4</w:t>
      </w:r>
      <w:r w:rsidRPr="00A916D5">
        <w:rPr>
          <w:b/>
        </w:rPr>
        <w:t>.</w:t>
      </w:r>
      <w:r>
        <w:rPr>
          <w:b/>
        </w:rPr>
        <w:t>4.</w:t>
      </w:r>
      <w:r w:rsidRPr="00A916D5">
        <w:rPr>
          <w:b/>
        </w:rPr>
        <w:t xml:space="preserve"> </w:t>
      </w:r>
      <w:r w:rsidRPr="00A40F4B">
        <w:rPr>
          <w:b/>
          <w:bCs/>
        </w:rPr>
        <w:t>Classe IV</w:t>
      </w:r>
    </w:p>
    <w:p w:rsidR="001548BA" w:rsidRDefault="001548BA" w:rsidP="001548BA">
      <w:pPr>
        <w:autoSpaceDE w:val="0"/>
        <w:autoSpaceDN w:val="0"/>
        <w:adjustRightInd w:val="0"/>
        <w:spacing w:before="120" w:after="120" w:line="360" w:lineRule="auto"/>
        <w:ind w:firstLine="708"/>
        <w:jc w:val="both"/>
      </w:pPr>
      <w:r w:rsidRPr="003015C7">
        <w:t>Elle contient les peptides requ</w:t>
      </w:r>
      <w:r>
        <w:t>é</w:t>
      </w:r>
      <w:r w:rsidRPr="003015C7">
        <w:t>rant une partie carbohydratée ou lipidique pour avoir une activité. Aucune bactériocine de cette classe n’a été décrite</w:t>
      </w:r>
      <w:r w:rsidRPr="003015C7">
        <w:rPr>
          <w:b/>
          <w:bCs/>
        </w:rPr>
        <w:t xml:space="preserve"> </w:t>
      </w:r>
      <w:r w:rsidRPr="0079072E">
        <w:rPr>
          <w:color w:val="0000FF"/>
        </w:rPr>
        <w:t>(</w:t>
      </w:r>
      <w:r w:rsidRPr="003015C7">
        <w:rPr>
          <w:color w:val="0000FF"/>
        </w:rPr>
        <w:t>Klaenhammer, 1993</w:t>
      </w:r>
      <w:r w:rsidRPr="0079072E">
        <w:rPr>
          <w:color w:val="0000FF"/>
        </w:rPr>
        <w:t>)</w:t>
      </w:r>
      <w:r w:rsidRPr="003015C7">
        <w:t>.</w:t>
      </w:r>
    </w:p>
    <w:p w:rsidR="001548BA" w:rsidRPr="00A40F4B" w:rsidRDefault="001548BA" w:rsidP="001548BA">
      <w:pPr>
        <w:autoSpaceDE w:val="0"/>
        <w:autoSpaceDN w:val="0"/>
        <w:adjustRightInd w:val="0"/>
        <w:spacing w:before="120" w:after="120" w:line="360" w:lineRule="auto"/>
        <w:ind w:firstLine="708"/>
        <w:jc w:val="both"/>
        <w:rPr>
          <w:b/>
          <w:bCs/>
        </w:rPr>
      </w:pPr>
      <w:r w:rsidRPr="00D90247">
        <w:rPr>
          <w:b/>
          <w:sz w:val="28"/>
          <w:szCs w:val="28"/>
        </w:rPr>
        <w:t>III</w:t>
      </w:r>
      <w:r w:rsidRPr="00A916D5">
        <w:rPr>
          <w:b/>
        </w:rPr>
        <w:t>.</w:t>
      </w:r>
      <w:r>
        <w:rPr>
          <w:b/>
        </w:rPr>
        <w:t>5</w:t>
      </w:r>
      <w:r w:rsidRPr="00A916D5">
        <w:rPr>
          <w:b/>
        </w:rPr>
        <w:t xml:space="preserve">. </w:t>
      </w:r>
      <w:r w:rsidRPr="00A40F4B">
        <w:rPr>
          <w:b/>
          <w:bCs/>
        </w:rPr>
        <w:t>Le mécanisme de production des bactériocines et sa régulation</w:t>
      </w:r>
    </w:p>
    <w:p w:rsidR="001548BA" w:rsidRPr="003015C7" w:rsidRDefault="001548BA" w:rsidP="001548BA">
      <w:pPr>
        <w:tabs>
          <w:tab w:val="left" w:pos="8100"/>
        </w:tabs>
        <w:autoSpaceDE w:val="0"/>
        <w:autoSpaceDN w:val="0"/>
        <w:adjustRightInd w:val="0"/>
        <w:spacing w:before="120" w:after="120" w:line="360" w:lineRule="auto"/>
        <w:ind w:firstLine="708"/>
        <w:jc w:val="both"/>
      </w:pPr>
      <w:r w:rsidRPr="003015C7">
        <w:t xml:space="preserve">Différentes protéines sont impliquées dans la production </w:t>
      </w:r>
      <w:r>
        <w:t>et la r</w:t>
      </w:r>
      <w:r w:rsidRPr="003015C7">
        <w:t xml:space="preserve">égulation des bactériocines. </w:t>
      </w:r>
      <w:r>
        <w:t>Ces dernières</w:t>
      </w:r>
      <w:r w:rsidRPr="003015C7">
        <w:t xml:space="preserve"> sont produites sous forme d’un prépeptide non-biologiquement actif</w:t>
      </w:r>
      <w:r>
        <w:t>,</w:t>
      </w:r>
      <w:r w:rsidRPr="003015C7">
        <w:t xml:space="preserve"> qui subira des modifications post-traductionnelles</w:t>
      </w:r>
      <w:r>
        <w:t>,</w:t>
      </w:r>
      <w:r w:rsidRPr="003015C7">
        <w:t xml:space="preserve"> pour aboutir au peptide actif. Cette production est souvent régulée par un système de Quorum Sensing, </w:t>
      </w:r>
      <w:r>
        <w:t xml:space="preserve">qui est </w:t>
      </w:r>
      <w:r w:rsidRPr="003015C7">
        <w:t>un mécanisme permettant à certains gènes d’être exprimés en fonction de la densité de la population bactérienne</w:t>
      </w:r>
      <w:r w:rsidRPr="003015C7">
        <w:rPr>
          <w:color w:val="0000FF"/>
        </w:rPr>
        <w:t xml:space="preserve"> (De Vuyst et Frédéric Leroy, 2007)</w:t>
      </w:r>
      <w:r w:rsidRPr="003015C7">
        <w:t>.</w:t>
      </w:r>
    </w:p>
    <w:p w:rsidR="001548BA" w:rsidRPr="00701DE3" w:rsidRDefault="001548BA" w:rsidP="001548BA">
      <w:pPr>
        <w:autoSpaceDE w:val="0"/>
        <w:autoSpaceDN w:val="0"/>
        <w:adjustRightInd w:val="0"/>
        <w:spacing w:before="120" w:after="120" w:line="360" w:lineRule="auto"/>
        <w:ind w:firstLine="708"/>
        <w:jc w:val="both"/>
        <w:rPr>
          <w:b/>
          <w:bCs/>
        </w:rPr>
      </w:pPr>
      <w:r w:rsidRPr="00D90247">
        <w:rPr>
          <w:b/>
          <w:sz w:val="28"/>
          <w:szCs w:val="28"/>
        </w:rPr>
        <w:t>III</w:t>
      </w:r>
      <w:r w:rsidRPr="00A916D5">
        <w:rPr>
          <w:b/>
        </w:rPr>
        <w:t>.</w:t>
      </w:r>
      <w:r>
        <w:rPr>
          <w:b/>
        </w:rPr>
        <w:t>5</w:t>
      </w:r>
      <w:r w:rsidRPr="00A916D5">
        <w:rPr>
          <w:b/>
        </w:rPr>
        <w:t>.</w:t>
      </w:r>
      <w:r>
        <w:rPr>
          <w:b/>
        </w:rPr>
        <w:t>1.</w:t>
      </w:r>
      <w:r w:rsidRPr="00A916D5">
        <w:rPr>
          <w:b/>
        </w:rPr>
        <w:t xml:space="preserve"> </w:t>
      </w:r>
      <w:r w:rsidRPr="00701DE3">
        <w:rPr>
          <w:b/>
          <w:bCs/>
        </w:rPr>
        <w:t>Les lantibiotiques</w:t>
      </w:r>
    </w:p>
    <w:p w:rsidR="001548BA" w:rsidRPr="003015C7" w:rsidRDefault="001548BA" w:rsidP="001548BA">
      <w:pPr>
        <w:autoSpaceDE w:val="0"/>
        <w:autoSpaceDN w:val="0"/>
        <w:adjustRightInd w:val="0"/>
        <w:spacing w:before="120" w:after="120" w:line="360" w:lineRule="auto"/>
        <w:ind w:firstLine="708"/>
        <w:jc w:val="both"/>
      </w:pPr>
      <w:r w:rsidRPr="003015C7">
        <w:t xml:space="preserve">L’organisation génétique de la production d’un lantibiotique, la nisine, est montrée à la </w:t>
      </w:r>
      <w:r w:rsidRPr="00815BE4">
        <w:rPr>
          <w:color w:val="0000FF"/>
        </w:rPr>
        <w:t>figure 10</w:t>
      </w:r>
      <w:r w:rsidRPr="003015C7">
        <w:t xml:space="preserve"> Les gènes de biosynthèse des lantibiotiques ont été désignés par le symbole commun Lan, avec un nom plus spécifique pour chaque lantibiotique (nis pour la nisine par exemple)</w:t>
      </w:r>
      <w:r w:rsidRPr="003015C7">
        <w:rPr>
          <w:color w:val="FF0000"/>
        </w:rPr>
        <w:t xml:space="preserve"> </w:t>
      </w:r>
      <w:r w:rsidRPr="003015C7">
        <w:rPr>
          <w:color w:val="0000FF"/>
        </w:rPr>
        <w:t xml:space="preserve">(Patton </w:t>
      </w:r>
      <w:r w:rsidRPr="003015C7">
        <w:rPr>
          <w:i/>
          <w:iCs/>
          <w:color w:val="0000FF"/>
        </w:rPr>
        <w:t>et al</w:t>
      </w:r>
      <w:r w:rsidRPr="003015C7">
        <w:rPr>
          <w:color w:val="0000FF"/>
        </w:rPr>
        <w:t>., 2005)</w:t>
      </w:r>
      <w:r w:rsidRPr="003015C7">
        <w:t>.</w:t>
      </w:r>
    </w:p>
    <w:p w:rsidR="001548BA" w:rsidRPr="003015C7" w:rsidRDefault="001548BA" w:rsidP="001548BA">
      <w:pPr>
        <w:autoSpaceDE w:val="0"/>
        <w:autoSpaceDN w:val="0"/>
        <w:adjustRightInd w:val="0"/>
        <w:spacing w:before="120" w:after="120" w:line="360" w:lineRule="auto"/>
        <w:ind w:firstLine="708"/>
        <w:jc w:val="both"/>
      </w:pPr>
      <w:r w:rsidRPr="003015C7">
        <w:lastRenderedPageBreak/>
        <w:t xml:space="preserve">Le gène de structure, LanA, code pour un peptide précurseur du lantibiotique contenant une séquence N-terminale de 23 à 30 acides aminés qui sera clivée lors du transport à l’extérieur de la cellule. Ce prépeptide subira différentes modifications post traductionnelles afin d’acquérir </w:t>
      </w:r>
      <w:r>
        <w:t>certains</w:t>
      </w:r>
      <w:r w:rsidRPr="003015C7">
        <w:t xml:space="preserve"> acides aminés, qui sont la lanthionine et la 2-méthyllanthionine.</w:t>
      </w:r>
    </w:p>
    <w:p w:rsidR="001548BA" w:rsidRDefault="001548BA" w:rsidP="001548BA">
      <w:pPr>
        <w:autoSpaceDE w:val="0"/>
        <w:autoSpaceDN w:val="0"/>
        <w:adjustRightInd w:val="0"/>
        <w:spacing w:before="120" w:after="120" w:line="360" w:lineRule="auto"/>
        <w:ind w:firstLine="708"/>
        <w:jc w:val="both"/>
      </w:pPr>
      <w:r w:rsidRPr="003015C7">
        <w:t>La première étape de ces modifications</w:t>
      </w:r>
      <w:r>
        <w:t>,</w:t>
      </w:r>
      <w:r w:rsidRPr="003015C7">
        <w:t xml:space="preserve"> consiste en la déshydratation de la sérine et de la thréonine pour former la déhydroalanine et la déhydrobutyrine. La deuxième étape consiste en la formation d’un lien thioéther entre ces résidus déshydratés et les cystéines environnantes, donnant aux lantibiotiques une structure cyclique. Les enzymes impliquées sont une déshydratase et une cyclase codée soit par les gènes LanB et LanC ou le gène LanM. </w:t>
      </w:r>
    </w:p>
    <w:p w:rsidR="001548BA" w:rsidRPr="003015C7" w:rsidRDefault="001548BA" w:rsidP="001548BA">
      <w:pPr>
        <w:autoSpaceDE w:val="0"/>
        <w:autoSpaceDN w:val="0"/>
        <w:adjustRightInd w:val="0"/>
        <w:spacing w:before="120" w:after="120" w:line="360" w:lineRule="auto"/>
        <w:ind w:firstLine="708"/>
        <w:jc w:val="both"/>
      </w:pPr>
      <w:r w:rsidRPr="003015C7">
        <w:t>Après ces modifications, le pré-peptide sera clivé lors de l’excrétion hors de la cellule par la protéase codée par LanP</w:t>
      </w:r>
      <w:r>
        <w:t>,</w:t>
      </w:r>
      <w:r w:rsidRPr="003015C7">
        <w:t xml:space="preserve"> ou le domaine protéasique de l’ABC transporteur codé par le gène LanT. Cette dernière modification permettra d’avoir le peptide biologiquement actif </w:t>
      </w:r>
      <w:r w:rsidRPr="003015C7">
        <w:rPr>
          <w:color w:val="0000FF"/>
        </w:rPr>
        <w:t xml:space="preserve">(Mc Auliffe </w:t>
      </w:r>
      <w:r w:rsidRPr="003015C7">
        <w:rPr>
          <w:i/>
          <w:iCs/>
          <w:color w:val="0000FF"/>
        </w:rPr>
        <w:t>et al</w:t>
      </w:r>
      <w:r w:rsidRPr="003015C7">
        <w:rPr>
          <w:color w:val="0000FF"/>
        </w:rPr>
        <w:t xml:space="preserve">., 2001 ; Xie </w:t>
      </w:r>
      <w:r w:rsidRPr="003015C7">
        <w:rPr>
          <w:i/>
          <w:iCs/>
          <w:color w:val="0000FF"/>
        </w:rPr>
        <w:t>et al</w:t>
      </w:r>
      <w:r w:rsidRPr="003015C7">
        <w:rPr>
          <w:color w:val="0000FF"/>
        </w:rPr>
        <w:t xml:space="preserve">., 2004 ; Patton </w:t>
      </w:r>
      <w:r w:rsidRPr="003015C7">
        <w:rPr>
          <w:i/>
          <w:iCs/>
          <w:color w:val="0000FF"/>
        </w:rPr>
        <w:t>et al</w:t>
      </w:r>
      <w:r w:rsidRPr="003015C7">
        <w:rPr>
          <w:color w:val="0000FF"/>
        </w:rPr>
        <w:t>., 2005)</w:t>
      </w:r>
      <w:r w:rsidRPr="003015C7">
        <w:t>.</w:t>
      </w:r>
    </w:p>
    <w:p w:rsidR="001548BA" w:rsidRPr="003015C7" w:rsidRDefault="001548BA" w:rsidP="001548BA">
      <w:pPr>
        <w:autoSpaceDE w:val="0"/>
        <w:autoSpaceDN w:val="0"/>
        <w:adjustRightInd w:val="0"/>
        <w:spacing w:before="120" w:after="120" w:line="360" w:lineRule="auto"/>
        <w:ind w:firstLine="708"/>
        <w:jc w:val="both"/>
      </w:pPr>
      <w:r w:rsidRPr="003015C7">
        <w:t>La production des lantibiotiques est sous le contrôle d’un mécanisme de régulation à deux composantes basé sur le Quorum Sensing. Ces deux composantes sont une histidine kinase, codée par le gène LanK, qui réagira à un stimulus extérieur et induira la phosphorylation d’un régulateur de réponse, le deuxième composant, codé par le gène LanR.</w:t>
      </w:r>
    </w:p>
    <w:p w:rsidR="001548BA" w:rsidRPr="003015C7" w:rsidRDefault="001548BA" w:rsidP="001548BA">
      <w:pPr>
        <w:autoSpaceDE w:val="0"/>
        <w:autoSpaceDN w:val="0"/>
        <w:adjustRightInd w:val="0"/>
        <w:spacing w:before="120" w:after="120" w:line="360" w:lineRule="auto"/>
        <w:ind w:firstLine="708"/>
        <w:jc w:val="both"/>
        <w:rPr>
          <w:color w:val="FF0000"/>
        </w:rPr>
      </w:pPr>
      <w:r w:rsidRPr="003015C7">
        <w:t>Une fois phosphorylé, il va permettre l’activation de l’expression de l’opéron. Le stimuli extérieur est la bactériocine elle-même</w:t>
      </w:r>
      <w:r>
        <w:t>,</w:t>
      </w:r>
      <w:r w:rsidRPr="003015C7">
        <w:t xml:space="preserve"> qui est présente dans la culture à basse concentration en début de croissance. Elle s’accumule et, quand un certain seuil est atteint, elle interagit avec le système de régulation pour activer la  transcription du gène de structure</w:t>
      </w:r>
      <w:r>
        <w:t>,</w:t>
      </w:r>
      <w:r w:rsidRPr="003015C7">
        <w:t xml:space="preserve"> mais également de ceux d’immunité et de transport. On parlera donc d’autorégulation </w:t>
      </w:r>
      <w:r w:rsidRPr="003015C7">
        <w:rPr>
          <w:color w:val="0000FF"/>
        </w:rPr>
        <w:t xml:space="preserve">(McAuliffe </w:t>
      </w:r>
      <w:r w:rsidRPr="003015C7">
        <w:rPr>
          <w:i/>
          <w:iCs/>
          <w:color w:val="0000FF"/>
        </w:rPr>
        <w:t>et al</w:t>
      </w:r>
      <w:r w:rsidRPr="003015C7">
        <w:rPr>
          <w:color w:val="0000FF"/>
        </w:rPr>
        <w:t xml:space="preserve">., 2001 ; Kleerebezem, 2004 ; Patton </w:t>
      </w:r>
      <w:r w:rsidRPr="003015C7">
        <w:rPr>
          <w:i/>
          <w:iCs/>
          <w:color w:val="0000FF"/>
        </w:rPr>
        <w:t>et al</w:t>
      </w:r>
      <w:r w:rsidRPr="003015C7">
        <w:rPr>
          <w:color w:val="0000FF"/>
        </w:rPr>
        <w:t>., 2005)</w:t>
      </w:r>
      <w:r w:rsidRPr="003015C7">
        <w:t>.</w:t>
      </w:r>
    </w:p>
    <w:p w:rsidR="001548BA" w:rsidRPr="003015C7" w:rsidRDefault="001548BA" w:rsidP="001548BA">
      <w:pPr>
        <w:autoSpaceDE w:val="0"/>
        <w:autoSpaceDN w:val="0"/>
        <w:adjustRightInd w:val="0"/>
        <w:spacing w:before="120" w:after="120" w:line="360" w:lineRule="auto"/>
        <w:ind w:firstLine="708"/>
        <w:jc w:val="both"/>
      </w:pPr>
      <w:r w:rsidRPr="003015C7">
        <w:t>Les gènes d’immunités sont LanI qui code pour une protéine d’immunité et LanF, LanE et LanG qui code</w:t>
      </w:r>
      <w:r>
        <w:t>nt</w:t>
      </w:r>
      <w:r w:rsidRPr="003015C7">
        <w:t xml:space="preserve"> pour un ABC transporteur. Ces protéines permettent de protéger la bactérie productrice de l’action de sa propre bactériocine.</w:t>
      </w:r>
    </w:p>
    <w:p w:rsidR="001548BA" w:rsidRPr="003015C7" w:rsidRDefault="001548BA" w:rsidP="001548BA">
      <w:pPr>
        <w:autoSpaceDE w:val="0"/>
        <w:autoSpaceDN w:val="0"/>
        <w:adjustRightInd w:val="0"/>
        <w:spacing w:line="360" w:lineRule="auto"/>
        <w:ind w:firstLine="708"/>
        <w:jc w:val="both"/>
      </w:pPr>
    </w:p>
    <w:p w:rsidR="001548BA" w:rsidRPr="003015C7" w:rsidRDefault="001548BA" w:rsidP="001548BA">
      <w:pPr>
        <w:autoSpaceDE w:val="0"/>
        <w:autoSpaceDN w:val="0"/>
        <w:adjustRightInd w:val="0"/>
        <w:spacing w:line="360" w:lineRule="auto"/>
        <w:ind w:firstLine="708"/>
        <w:jc w:val="both"/>
      </w:pPr>
    </w:p>
    <w:p w:rsidR="001548BA" w:rsidRPr="003015C7" w:rsidRDefault="001548BA" w:rsidP="001548BA">
      <w:pPr>
        <w:autoSpaceDE w:val="0"/>
        <w:autoSpaceDN w:val="0"/>
        <w:adjustRightInd w:val="0"/>
        <w:spacing w:line="360" w:lineRule="auto"/>
        <w:ind w:firstLine="708"/>
        <w:jc w:val="both"/>
      </w:pPr>
    </w:p>
    <w:p w:rsidR="001548BA" w:rsidRDefault="001548BA" w:rsidP="001548BA">
      <w:pPr>
        <w:autoSpaceDE w:val="0"/>
        <w:autoSpaceDN w:val="0"/>
        <w:adjustRightInd w:val="0"/>
        <w:spacing w:line="360" w:lineRule="auto"/>
        <w:ind w:firstLine="708"/>
        <w:jc w:val="both"/>
      </w:pPr>
    </w:p>
    <w:p w:rsidR="001548BA" w:rsidRDefault="001548BA" w:rsidP="001548BA">
      <w:pPr>
        <w:autoSpaceDE w:val="0"/>
        <w:autoSpaceDN w:val="0"/>
        <w:adjustRightInd w:val="0"/>
        <w:spacing w:line="360" w:lineRule="auto"/>
        <w:ind w:firstLine="708"/>
        <w:jc w:val="both"/>
      </w:pPr>
    </w:p>
    <w:p w:rsidR="001548BA" w:rsidRPr="003015C7" w:rsidRDefault="001548BA" w:rsidP="001548BA">
      <w:pPr>
        <w:autoSpaceDE w:val="0"/>
        <w:autoSpaceDN w:val="0"/>
        <w:adjustRightInd w:val="0"/>
        <w:spacing w:line="360" w:lineRule="auto"/>
        <w:ind w:firstLine="708"/>
        <w:jc w:val="both"/>
      </w:pPr>
    </w:p>
    <w:p w:rsidR="001548BA" w:rsidRPr="003015C7" w:rsidRDefault="001548BA" w:rsidP="001548BA">
      <w:pPr>
        <w:autoSpaceDE w:val="0"/>
        <w:autoSpaceDN w:val="0"/>
        <w:adjustRightInd w:val="0"/>
        <w:spacing w:line="360" w:lineRule="auto"/>
        <w:jc w:val="both"/>
      </w:pPr>
      <w:r>
        <w:rPr>
          <w:noProof/>
        </w:rPr>
        <w:drawing>
          <wp:inline distT="0" distB="0" distL="0" distR="0">
            <wp:extent cx="5753100" cy="4019550"/>
            <wp:effectExtent l="19050" t="0" r="0" b="0"/>
            <wp:docPr id="3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53100" cy="4019550"/>
                    </a:xfrm>
                    <a:prstGeom prst="rect">
                      <a:avLst/>
                    </a:prstGeom>
                    <a:noFill/>
                    <a:ln w="9525">
                      <a:noFill/>
                      <a:miter lim="800000"/>
                      <a:headEnd/>
                      <a:tailEnd/>
                    </a:ln>
                  </pic:spPr>
                </pic:pic>
              </a:graphicData>
            </a:graphic>
          </wp:inline>
        </w:drawing>
      </w:r>
    </w:p>
    <w:p w:rsidR="001548BA" w:rsidRDefault="001548BA" w:rsidP="001548BA">
      <w:pPr>
        <w:autoSpaceDE w:val="0"/>
        <w:autoSpaceDN w:val="0"/>
        <w:adjustRightInd w:val="0"/>
        <w:jc w:val="both"/>
        <w:rPr>
          <w:b/>
          <w:bCs/>
          <w:u w:val="single"/>
        </w:rPr>
      </w:pPr>
    </w:p>
    <w:p w:rsidR="001548BA" w:rsidRPr="003015C7" w:rsidRDefault="001548BA" w:rsidP="001548BA">
      <w:pPr>
        <w:autoSpaceDE w:val="0"/>
        <w:autoSpaceDN w:val="0"/>
        <w:adjustRightInd w:val="0"/>
        <w:ind w:left="993" w:hanging="993"/>
        <w:jc w:val="both"/>
      </w:pPr>
      <w:r w:rsidRPr="00367FE7">
        <w:rPr>
          <w:b/>
          <w:bCs/>
          <w:u w:val="single"/>
        </w:rPr>
        <w:t xml:space="preserve">Figure </w:t>
      </w:r>
      <w:r>
        <w:rPr>
          <w:b/>
          <w:bCs/>
          <w:u w:val="single"/>
        </w:rPr>
        <w:t>10</w:t>
      </w:r>
      <w:r w:rsidRPr="003015C7">
        <w:rPr>
          <w:b/>
          <w:bCs/>
        </w:rPr>
        <w:t>:</w:t>
      </w:r>
      <w:r w:rsidRPr="003015C7">
        <w:t xml:space="preserve"> Régulation de la production, modifications post-traductionnelles et auto-immunité</w:t>
      </w:r>
      <w:r>
        <w:t xml:space="preserve"> </w:t>
      </w:r>
      <w:r w:rsidRPr="003015C7">
        <w:t xml:space="preserve">de la nisine. « NisA substrate » est le prépeptide non biologiquement actif qui sera déshydraté par NisB et cyclisé par NisC avant sa translocation par l’ABC transporteur NisT et le clivage de la séquence signal par la protéase NisP. Ces modifications conduiront au peptide biologiquement actif. La nisine interagira avec l’histidine kinase NisK, ce qui induira la phosphorylation du régulateur de réponse NisR et l’activation de la transcription des gènes nécessaires à la production de la nisine. La protection de la cellule vis à vis de la nisine est réalisée par deux mécanismes : la lipoprotéine d’immunité NisI et l’ABC transporteur formé par NisG, NisE et NisF </w:t>
      </w:r>
      <w:r w:rsidRPr="00367FE7">
        <w:rPr>
          <w:color w:val="0000FF"/>
        </w:rPr>
        <w:t xml:space="preserve">(Patton </w:t>
      </w:r>
      <w:r w:rsidRPr="00367FE7">
        <w:rPr>
          <w:i/>
          <w:iCs/>
          <w:color w:val="0000FF"/>
        </w:rPr>
        <w:t>et al</w:t>
      </w:r>
      <w:r w:rsidRPr="00367FE7">
        <w:rPr>
          <w:color w:val="0000FF"/>
        </w:rPr>
        <w:t>., 2005)</w:t>
      </w:r>
      <w:r w:rsidRPr="003015C7">
        <w:t>.</w:t>
      </w:r>
    </w:p>
    <w:p w:rsidR="001548BA" w:rsidRPr="003015C7" w:rsidRDefault="001548BA" w:rsidP="001548BA">
      <w:pPr>
        <w:autoSpaceDE w:val="0"/>
        <w:autoSpaceDN w:val="0"/>
        <w:adjustRightInd w:val="0"/>
        <w:spacing w:line="360" w:lineRule="auto"/>
        <w:ind w:left="993" w:hanging="993"/>
        <w:jc w:val="both"/>
      </w:pPr>
    </w:p>
    <w:p w:rsidR="001548BA" w:rsidRDefault="001548BA" w:rsidP="001548BA">
      <w:pPr>
        <w:autoSpaceDE w:val="0"/>
        <w:autoSpaceDN w:val="0"/>
        <w:adjustRightInd w:val="0"/>
        <w:spacing w:line="360" w:lineRule="auto"/>
        <w:jc w:val="both"/>
        <w:rPr>
          <w:color w:val="FF0000"/>
        </w:rPr>
      </w:pPr>
    </w:p>
    <w:p w:rsidR="001548BA" w:rsidRDefault="001548BA" w:rsidP="001548BA">
      <w:pPr>
        <w:autoSpaceDE w:val="0"/>
        <w:autoSpaceDN w:val="0"/>
        <w:adjustRightInd w:val="0"/>
        <w:spacing w:line="360" w:lineRule="auto"/>
        <w:jc w:val="both"/>
        <w:rPr>
          <w:color w:val="FF0000"/>
        </w:rPr>
      </w:pPr>
    </w:p>
    <w:p w:rsidR="001548BA" w:rsidRDefault="001548BA" w:rsidP="001548BA">
      <w:pPr>
        <w:autoSpaceDE w:val="0"/>
        <w:autoSpaceDN w:val="0"/>
        <w:adjustRightInd w:val="0"/>
        <w:spacing w:line="360" w:lineRule="auto"/>
        <w:jc w:val="both"/>
        <w:rPr>
          <w:color w:val="FF0000"/>
        </w:rPr>
      </w:pPr>
    </w:p>
    <w:p w:rsidR="001548BA" w:rsidRDefault="001548BA" w:rsidP="001548BA">
      <w:pPr>
        <w:autoSpaceDE w:val="0"/>
        <w:autoSpaceDN w:val="0"/>
        <w:adjustRightInd w:val="0"/>
        <w:spacing w:line="360" w:lineRule="auto"/>
        <w:jc w:val="both"/>
        <w:rPr>
          <w:color w:val="FF0000"/>
        </w:rPr>
      </w:pPr>
    </w:p>
    <w:p w:rsidR="001548BA" w:rsidRDefault="001548BA" w:rsidP="001548BA">
      <w:pPr>
        <w:autoSpaceDE w:val="0"/>
        <w:autoSpaceDN w:val="0"/>
        <w:adjustRightInd w:val="0"/>
        <w:spacing w:line="360" w:lineRule="auto"/>
        <w:jc w:val="both"/>
        <w:rPr>
          <w:color w:val="FF0000"/>
        </w:rPr>
      </w:pPr>
    </w:p>
    <w:p w:rsidR="001548BA" w:rsidRPr="003015C7" w:rsidRDefault="001548BA" w:rsidP="001548BA">
      <w:pPr>
        <w:autoSpaceDE w:val="0"/>
        <w:autoSpaceDN w:val="0"/>
        <w:adjustRightInd w:val="0"/>
        <w:spacing w:line="360" w:lineRule="auto"/>
        <w:jc w:val="both"/>
        <w:rPr>
          <w:color w:val="FF0000"/>
        </w:rPr>
      </w:pPr>
    </w:p>
    <w:p w:rsidR="001548BA" w:rsidRPr="00FC5E0A" w:rsidRDefault="001548BA" w:rsidP="001548BA">
      <w:pPr>
        <w:autoSpaceDE w:val="0"/>
        <w:autoSpaceDN w:val="0"/>
        <w:adjustRightInd w:val="0"/>
        <w:spacing w:before="120" w:after="120" w:line="360" w:lineRule="auto"/>
        <w:jc w:val="both"/>
        <w:rPr>
          <w:color w:val="FF0000"/>
        </w:rPr>
      </w:pPr>
      <w:r w:rsidRPr="00D90247">
        <w:rPr>
          <w:b/>
          <w:sz w:val="28"/>
          <w:szCs w:val="28"/>
        </w:rPr>
        <w:lastRenderedPageBreak/>
        <w:t>III</w:t>
      </w:r>
      <w:r w:rsidRPr="00A916D5">
        <w:rPr>
          <w:b/>
        </w:rPr>
        <w:t>.</w:t>
      </w:r>
      <w:r>
        <w:rPr>
          <w:b/>
        </w:rPr>
        <w:t>5</w:t>
      </w:r>
      <w:r w:rsidRPr="00A916D5">
        <w:rPr>
          <w:b/>
        </w:rPr>
        <w:t>.</w:t>
      </w:r>
      <w:r>
        <w:rPr>
          <w:b/>
        </w:rPr>
        <w:t>2.</w:t>
      </w:r>
      <w:r w:rsidRPr="00A916D5">
        <w:rPr>
          <w:b/>
        </w:rPr>
        <w:t xml:space="preserve"> </w:t>
      </w:r>
      <w:r w:rsidRPr="000126E3">
        <w:rPr>
          <w:b/>
          <w:bCs/>
        </w:rPr>
        <w:t>Les bactériocines de classe II</w:t>
      </w:r>
      <w:r>
        <w:rPr>
          <w:b/>
          <w:bCs/>
          <w:color w:val="FF0000"/>
        </w:rPr>
        <w:t> </w:t>
      </w:r>
    </w:p>
    <w:p w:rsidR="001548BA" w:rsidRPr="003015C7" w:rsidRDefault="001548BA" w:rsidP="001548BA">
      <w:pPr>
        <w:autoSpaceDE w:val="0"/>
        <w:autoSpaceDN w:val="0"/>
        <w:adjustRightInd w:val="0"/>
        <w:spacing w:before="120" w:after="120" w:line="360" w:lineRule="auto"/>
        <w:ind w:firstLine="708"/>
        <w:jc w:val="both"/>
        <w:rPr>
          <w:color w:val="FF0000"/>
        </w:rPr>
      </w:pPr>
      <w:r w:rsidRPr="003015C7">
        <w:t xml:space="preserve">La </w:t>
      </w:r>
      <w:r w:rsidRPr="00FC5E0A">
        <w:rPr>
          <w:color w:val="0000FF"/>
        </w:rPr>
        <w:t xml:space="preserve">figure </w:t>
      </w:r>
      <w:r>
        <w:rPr>
          <w:color w:val="0000FF"/>
        </w:rPr>
        <w:t xml:space="preserve">11 </w:t>
      </w:r>
      <w:r w:rsidRPr="003015C7">
        <w:t xml:space="preserve">montre l’organisation génétique de deux bactériocines de classe IIa, la sakacin P et la </w:t>
      </w:r>
      <w:r w:rsidRPr="000126E3">
        <w:t>piscicolin 126, ainsi que d’une bactériocine de classe IIb, l’ABP118. Les bactériocines de classe IIa sont également produites sous forme d’un pré-peptide non biologiquement actif dont la séquence N-terminal appelée séquence signal et contenant une vingtaine d’acides aminés avec des séquences très  conservées, sera clivée du côté C-terminal</w:t>
      </w:r>
      <w:r w:rsidRPr="003015C7">
        <w:t xml:space="preserve"> d’un motif GG par le domaine protéasique de l’ABC transporteur lors de la translocation membranaire pour donner le peptide biologiquement actif </w:t>
      </w:r>
      <w:r w:rsidRPr="003015C7">
        <w:rPr>
          <w:color w:val="0000FF"/>
        </w:rPr>
        <w:t>(E</w:t>
      </w:r>
      <w:r w:rsidRPr="00FC5E0A">
        <w:rPr>
          <w:color w:val="0000FF"/>
        </w:rPr>
        <w:t>nnah</w:t>
      </w:r>
      <w:r w:rsidRPr="003015C7">
        <w:rPr>
          <w:color w:val="0000FF"/>
        </w:rPr>
        <w:t xml:space="preserve">ar </w:t>
      </w:r>
      <w:r w:rsidRPr="003015C7">
        <w:rPr>
          <w:i/>
          <w:iCs/>
          <w:color w:val="0000FF"/>
        </w:rPr>
        <w:t>et al</w:t>
      </w:r>
      <w:r w:rsidRPr="003015C7">
        <w:rPr>
          <w:color w:val="0000FF"/>
        </w:rPr>
        <w:t>., 2000)</w:t>
      </w:r>
      <w:r w:rsidRPr="003015C7">
        <w:t>.</w:t>
      </w:r>
    </w:p>
    <w:p w:rsidR="001548BA" w:rsidRPr="003015C7" w:rsidRDefault="001548BA" w:rsidP="001548BA">
      <w:pPr>
        <w:autoSpaceDE w:val="0"/>
        <w:autoSpaceDN w:val="0"/>
        <w:adjustRightInd w:val="0"/>
        <w:spacing w:before="120" w:after="120" w:line="360" w:lineRule="auto"/>
        <w:ind w:firstLine="708"/>
        <w:jc w:val="both"/>
      </w:pPr>
      <w:r w:rsidRPr="003015C7">
        <w:t xml:space="preserve">Avec la formation d’un ou deux ponts disulfures cruciaux pour l’activité, ce sera la seule transformation post-traductionnelle </w:t>
      </w:r>
      <w:r w:rsidRPr="003015C7">
        <w:rPr>
          <w:color w:val="0000FF"/>
        </w:rPr>
        <w:t xml:space="preserve">(Drider </w:t>
      </w:r>
      <w:r w:rsidRPr="003015C7">
        <w:rPr>
          <w:i/>
          <w:iCs/>
          <w:color w:val="0000FF"/>
        </w:rPr>
        <w:t>et al</w:t>
      </w:r>
      <w:r w:rsidRPr="003015C7">
        <w:rPr>
          <w:color w:val="0000FF"/>
        </w:rPr>
        <w:t>., 2006)</w:t>
      </w:r>
      <w:r w:rsidRPr="003015C7">
        <w:t xml:space="preserve">. Certaines bactériocines de classe IIa sont excrétées par le « sec-dependent pathways ». Les peptides signaux de ces bactériocines ne contiennent donc pas de doublet glycine mais bien la séquence signal typique des protéines secrétées par ce système qui sera clivé par une peptidase durant la translocation </w:t>
      </w:r>
      <w:r w:rsidRPr="003015C7">
        <w:rPr>
          <w:color w:val="0000FF"/>
        </w:rPr>
        <w:t xml:space="preserve">(De Kwaadsteniet </w:t>
      </w:r>
      <w:r w:rsidRPr="003015C7">
        <w:rPr>
          <w:i/>
          <w:iCs/>
          <w:color w:val="0000FF"/>
        </w:rPr>
        <w:t>et al</w:t>
      </w:r>
      <w:r w:rsidRPr="003015C7">
        <w:rPr>
          <w:color w:val="0000FF"/>
        </w:rPr>
        <w:t>., 2006)</w:t>
      </w:r>
      <w:r w:rsidRPr="003015C7">
        <w:t>.</w:t>
      </w:r>
    </w:p>
    <w:p w:rsidR="001548BA" w:rsidRPr="003015C7" w:rsidRDefault="001548BA" w:rsidP="001548BA">
      <w:pPr>
        <w:autoSpaceDE w:val="0"/>
        <w:autoSpaceDN w:val="0"/>
        <w:adjustRightInd w:val="0"/>
        <w:spacing w:before="120" w:after="120" w:line="360" w:lineRule="auto"/>
        <w:jc w:val="center"/>
      </w:pPr>
      <w:r>
        <w:rPr>
          <w:noProof/>
        </w:rPr>
        <w:drawing>
          <wp:inline distT="0" distB="0" distL="0" distR="0">
            <wp:extent cx="4251770" cy="3238500"/>
            <wp:effectExtent l="19050" t="0" r="0" b="0"/>
            <wp:docPr id="3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4257675" cy="3242998"/>
                    </a:xfrm>
                    <a:prstGeom prst="rect">
                      <a:avLst/>
                    </a:prstGeom>
                    <a:noFill/>
                    <a:ln w="9525">
                      <a:noFill/>
                      <a:miter lim="800000"/>
                      <a:headEnd/>
                      <a:tailEnd/>
                    </a:ln>
                  </pic:spPr>
                </pic:pic>
              </a:graphicData>
            </a:graphic>
          </wp:inline>
        </w:drawing>
      </w:r>
    </w:p>
    <w:p w:rsidR="001548BA" w:rsidRPr="003015C7" w:rsidRDefault="001548BA" w:rsidP="001548BA">
      <w:pPr>
        <w:autoSpaceDE w:val="0"/>
        <w:autoSpaceDN w:val="0"/>
        <w:adjustRightInd w:val="0"/>
        <w:spacing w:before="120" w:after="120"/>
        <w:ind w:left="993" w:hanging="993"/>
        <w:jc w:val="both"/>
      </w:pPr>
      <w:r w:rsidRPr="00FC5E0A">
        <w:rPr>
          <w:b/>
          <w:bCs/>
          <w:u w:val="single"/>
        </w:rPr>
        <w:t xml:space="preserve">Figure </w:t>
      </w:r>
      <w:r>
        <w:rPr>
          <w:b/>
          <w:bCs/>
          <w:u w:val="single"/>
        </w:rPr>
        <w:t>11</w:t>
      </w:r>
      <w:r w:rsidRPr="003015C7">
        <w:rPr>
          <w:b/>
          <w:bCs/>
        </w:rPr>
        <w:t>:</w:t>
      </w:r>
      <w:r w:rsidRPr="003015C7">
        <w:t xml:space="preserve"> Organisation génétique de</w:t>
      </w:r>
      <w:r>
        <w:t>s</w:t>
      </w:r>
      <w:r w:rsidRPr="003015C7">
        <w:t xml:space="preserve"> bactériocines de classe II. Spp : Sakacin P, pis : piscicolin 126, abp118 : Bactériocine abp118. sppA, pisA, abp118alpha et abp118 beta : gène de structure, spiA, pisI, AbpIM : gène d’immunité, sppK, pisK, abpK : gène de l’histidine kinase, sppR, pisR, abpR : gène du régulateur de réponse, sppIP, pisN, abpIP : peptide d’induction, sppT, pisT et abpT : gène de l’ABC transporteur, sppE, pisE et abpD : protéine accessoire, CDS1 à 9 : protéines hypothétiques dont la fonction n’est pas connue.</w:t>
      </w:r>
    </w:p>
    <w:p w:rsidR="001548BA" w:rsidRPr="003015C7" w:rsidRDefault="001548BA" w:rsidP="001548BA">
      <w:pPr>
        <w:autoSpaceDE w:val="0"/>
        <w:autoSpaceDN w:val="0"/>
        <w:adjustRightInd w:val="0"/>
        <w:spacing w:before="120" w:after="120" w:line="360" w:lineRule="auto"/>
        <w:ind w:firstLine="708"/>
        <w:jc w:val="both"/>
        <w:rPr>
          <w:color w:val="FF0000"/>
        </w:rPr>
      </w:pPr>
      <w:r w:rsidRPr="003015C7">
        <w:lastRenderedPageBreak/>
        <w:t xml:space="preserve">La régulation de la production des bactériocines de classe IIa est sous le contrôle d’un système de Quorum Sensing à trois composantes qui sont : un peptide d’induction, une histidine kinase et un régulateur de réponse. Les gènes codant pour ces trois protéines sont cotranscrits </w:t>
      </w:r>
      <w:r w:rsidRPr="003015C7">
        <w:rPr>
          <w:color w:val="0000FF"/>
        </w:rPr>
        <w:t xml:space="preserve">(Drider </w:t>
      </w:r>
      <w:r w:rsidRPr="003015C7">
        <w:rPr>
          <w:i/>
          <w:iCs/>
          <w:color w:val="0000FF"/>
        </w:rPr>
        <w:t>et al</w:t>
      </w:r>
      <w:r w:rsidRPr="003015C7">
        <w:rPr>
          <w:color w:val="0000FF"/>
        </w:rPr>
        <w:t>., 2006)</w:t>
      </w:r>
      <w:r w:rsidRPr="003015C7">
        <w:t>.</w:t>
      </w:r>
    </w:p>
    <w:p w:rsidR="001548BA" w:rsidRPr="003015C7" w:rsidRDefault="001548BA" w:rsidP="001548BA">
      <w:pPr>
        <w:autoSpaceDE w:val="0"/>
        <w:autoSpaceDN w:val="0"/>
        <w:adjustRightInd w:val="0"/>
        <w:spacing w:before="120" w:after="120" w:line="360" w:lineRule="auto"/>
        <w:ind w:firstLine="708"/>
        <w:jc w:val="both"/>
      </w:pPr>
      <w:r w:rsidRPr="003015C7">
        <w:t xml:space="preserve">Le peptide d’induction est produit à basse concentration comme un prépeptide de bas poids moléculaire, sans ou avec une très faible activité inhibitrice, stable à la chaleur, cationique et hydrophobe et dont la partie N-terminal est clivée au niveau d’un doublet glycine lors de l’excrétion en dehors de la cellule par l’ABC transporteur également impliqué dans l’excrétion de la bactériocine </w:t>
      </w:r>
      <w:r w:rsidRPr="003015C7">
        <w:rPr>
          <w:color w:val="0000FF"/>
        </w:rPr>
        <w:t xml:space="preserve">(Ennahar </w:t>
      </w:r>
      <w:r w:rsidRPr="003015C7">
        <w:rPr>
          <w:i/>
          <w:iCs/>
          <w:color w:val="0000FF"/>
        </w:rPr>
        <w:t>et al</w:t>
      </w:r>
      <w:r w:rsidRPr="003015C7">
        <w:rPr>
          <w:color w:val="0000FF"/>
        </w:rPr>
        <w:t>., 2000)</w:t>
      </w:r>
      <w:r w:rsidRPr="003015C7">
        <w:t>.</w:t>
      </w:r>
    </w:p>
    <w:p w:rsidR="001548BA" w:rsidRPr="003015C7" w:rsidRDefault="001548BA" w:rsidP="001548BA">
      <w:pPr>
        <w:autoSpaceDE w:val="0"/>
        <w:autoSpaceDN w:val="0"/>
        <w:adjustRightInd w:val="0"/>
        <w:spacing w:before="120" w:after="120" w:line="360" w:lineRule="auto"/>
        <w:ind w:firstLine="708"/>
        <w:jc w:val="both"/>
        <w:rPr>
          <w:color w:val="FF0000"/>
        </w:rPr>
      </w:pPr>
      <w:r w:rsidRPr="003015C7">
        <w:t xml:space="preserve">A une certaine concentration externe du peptide d’induction, l’histidine kinase transmembranaire est activée, ce qui mène à sa phosphorylation. Le groupement phosphate est transféré au régulateur de réponse qui va activer l’expression des gènes de structure, immunité et transport de la bactériocine mais également du système de régulation à trois composantes. Le système est donc auto-induit </w:t>
      </w:r>
      <w:r w:rsidRPr="003015C7">
        <w:rPr>
          <w:color w:val="0000FF"/>
        </w:rPr>
        <w:t xml:space="preserve">(Drider </w:t>
      </w:r>
      <w:r w:rsidRPr="003015C7">
        <w:rPr>
          <w:i/>
          <w:iCs/>
          <w:color w:val="0000FF"/>
        </w:rPr>
        <w:t>et al</w:t>
      </w:r>
      <w:r w:rsidRPr="003015C7">
        <w:rPr>
          <w:color w:val="0000FF"/>
        </w:rPr>
        <w:t>., 2006)</w:t>
      </w:r>
      <w:r w:rsidRPr="003015C7">
        <w:t>.</w:t>
      </w:r>
    </w:p>
    <w:p w:rsidR="001548BA" w:rsidRPr="003015C7" w:rsidRDefault="001548BA" w:rsidP="001548BA">
      <w:pPr>
        <w:autoSpaceDE w:val="0"/>
        <w:autoSpaceDN w:val="0"/>
        <w:adjustRightInd w:val="0"/>
        <w:spacing w:before="120" w:after="120" w:line="360" w:lineRule="auto"/>
        <w:ind w:firstLine="708"/>
        <w:jc w:val="both"/>
        <w:rPr>
          <w:color w:val="0000FF"/>
        </w:rPr>
      </w:pPr>
      <w:r w:rsidRPr="003015C7">
        <w:t xml:space="preserve">Cependant, il a été récemment suggéré que le gène codant pour le régulateur de réponse de la sakacin P (sppR) pouvait produire deux protéines : une protéine complète et cette même protéine dont l’extrémité N-terminal est tronquée. Cette deuxième protéine tronquée peut alors réprimer l’expression des gènes codant pour la sakacin P, probablement en interférant avec l’action de la molécule complète </w:t>
      </w:r>
      <w:r w:rsidRPr="003015C7">
        <w:rPr>
          <w:color w:val="0000FF"/>
        </w:rPr>
        <w:t xml:space="preserve">(Møretrø </w:t>
      </w:r>
      <w:r w:rsidRPr="003015C7">
        <w:rPr>
          <w:i/>
          <w:iCs/>
          <w:color w:val="0000FF"/>
        </w:rPr>
        <w:t>et al</w:t>
      </w:r>
      <w:r w:rsidRPr="003015C7">
        <w:rPr>
          <w:color w:val="0000FF"/>
        </w:rPr>
        <w:t>., 2005)</w:t>
      </w:r>
      <w:r w:rsidRPr="003015C7">
        <w:t>.</w:t>
      </w:r>
    </w:p>
    <w:p w:rsidR="001548BA" w:rsidRPr="003015C7" w:rsidRDefault="001548BA" w:rsidP="001548BA">
      <w:pPr>
        <w:autoSpaceDE w:val="0"/>
        <w:autoSpaceDN w:val="0"/>
        <w:adjustRightInd w:val="0"/>
        <w:spacing w:before="120" w:after="120" w:line="360" w:lineRule="auto"/>
        <w:ind w:firstLine="708"/>
        <w:jc w:val="both"/>
      </w:pPr>
      <w:r w:rsidRPr="003015C7">
        <w:t>Les gènes codant pour la production des bactériocines de classe IIa sont, la plupart du temps, organisés en trois opérons, le premier contenant les gènes de structure et d’immunité, le deuxième les gènes nécessaires à la sécrétion de la bactériocine (l’ABC transporteur et une protéine accessoire)</w:t>
      </w:r>
      <w:r>
        <w:t>,</w:t>
      </w:r>
      <w:r w:rsidRPr="003015C7">
        <w:t xml:space="preserve"> et le troisième les gènes du système de régulation à trois composantes. Le gène d’immunité code pour une protéine permettant à la bactérie d’être résistante à la bactériocine qu’elle produit.</w:t>
      </w:r>
    </w:p>
    <w:p w:rsidR="001548BA" w:rsidRPr="003015C7" w:rsidRDefault="001548BA" w:rsidP="001548BA">
      <w:pPr>
        <w:autoSpaceDE w:val="0"/>
        <w:autoSpaceDN w:val="0"/>
        <w:adjustRightInd w:val="0"/>
        <w:spacing w:before="120" w:after="120" w:line="360" w:lineRule="auto"/>
        <w:ind w:firstLine="709"/>
        <w:jc w:val="both"/>
        <w:rPr>
          <w:color w:val="FF0000"/>
        </w:rPr>
      </w:pPr>
      <w:r w:rsidRPr="003015C7">
        <w:t>Peu d’informations sont disponibles concernant la régulation de la production des bactériocines de classe IIb. Néanmoins, il a été montré qu’un système de régulation</w:t>
      </w:r>
      <w:r>
        <w:t xml:space="preserve"> </w:t>
      </w:r>
      <w:r w:rsidRPr="003015C7">
        <w:t>à trois composantes identique à celui retrouvé pour les bactériocines de classe Iia</w:t>
      </w:r>
      <w:r>
        <w:t>,</w:t>
      </w:r>
      <w:r w:rsidRPr="003015C7">
        <w:t xml:space="preserve"> est impliqué dans la production de l’ABP-118 et des plantiricin E/F et J/K </w:t>
      </w:r>
      <w:r w:rsidRPr="003015C7">
        <w:rPr>
          <w:color w:val="0000FF"/>
        </w:rPr>
        <w:t xml:space="preserve">(Oppegard </w:t>
      </w:r>
      <w:r w:rsidRPr="003015C7">
        <w:rPr>
          <w:i/>
          <w:iCs/>
          <w:color w:val="0000FF"/>
        </w:rPr>
        <w:t>et al</w:t>
      </w:r>
      <w:r w:rsidRPr="003015C7">
        <w:rPr>
          <w:color w:val="0000FF"/>
        </w:rPr>
        <w:t>., 2007)</w:t>
      </w:r>
      <w:r w:rsidRPr="003015C7">
        <w:t>.</w:t>
      </w:r>
    </w:p>
    <w:p w:rsidR="0018736E" w:rsidRDefault="0018736E" w:rsidP="001548BA">
      <w:pPr>
        <w:autoSpaceDE w:val="0"/>
        <w:autoSpaceDN w:val="0"/>
        <w:adjustRightInd w:val="0"/>
        <w:spacing w:before="120" w:after="120" w:line="360" w:lineRule="auto"/>
        <w:ind w:firstLine="708"/>
        <w:jc w:val="both"/>
        <w:rPr>
          <w:b/>
          <w:sz w:val="28"/>
          <w:szCs w:val="28"/>
        </w:rPr>
      </w:pPr>
    </w:p>
    <w:p w:rsidR="001548BA" w:rsidRPr="00D80DC0" w:rsidRDefault="001548BA" w:rsidP="001548BA">
      <w:pPr>
        <w:autoSpaceDE w:val="0"/>
        <w:autoSpaceDN w:val="0"/>
        <w:adjustRightInd w:val="0"/>
        <w:spacing w:before="120" w:after="120" w:line="360" w:lineRule="auto"/>
        <w:ind w:firstLine="708"/>
        <w:jc w:val="both"/>
        <w:rPr>
          <w:b/>
          <w:bCs/>
        </w:rPr>
      </w:pPr>
      <w:r w:rsidRPr="00D90247">
        <w:rPr>
          <w:b/>
          <w:sz w:val="28"/>
          <w:szCs w:val="28"/>
        </w:rPr>
        <w:lastRenderedPageBreak/>
        <w:t>III</w:t>
      </w:r>
      <w:r w:rsidRPr="00A916D5">
        <w:rPr>
          <w:b/>
        </w:rPr>
        <w:t>.</w:t>
      </w:r>
      <w:r>
        <w:rPr>
          <w:b/>
        </w:rPr>
        <w:t>6</w:t>
      </w:r>
      <w:r w:rsidRPr="00A916D5">
        <w:rPr>
          <w:b/>
        </w:rPr>
        <w:t xml:space="preserve">. </w:t>
      </w:r>
      <w:r w:rsidRPr="00D80DC0">
        <w:rPr>
          <w:b/>
          <w:bCs/>
        </w:rPr>
        <w:t xml:space="preserve">Les mécanismes d’action des bactériocines </w:t>
      </w:r>
    </w:p>
    <w:p w:rsidR="001548BA" w:rsidRPr="003015C7" w:rsidRDefault="001548BA" w:rsidP="001548BA">
      <w:pPr>
        <w:autoSpaceDE w:val="0"/>
        <w:autoSpaceDN w:val="0"/>
        <w:adjustRightInd w:val="0"/>
        <w:spacing w:before="120" w:after="120" w:line="360" w:lineRule="auto"/>
        <w:ind w:firstLine="708"/>
        <w:jc w:val="both"/>
      </w:pPr>
      <w:r w:rsidRPr="003015C7">
        <w:t>Le siège d’activité des bactériocines est la membrane c</w:t>
      </w:r>
      <w:r>
        <w:t>ellulaire, raison pour laquelle</w:t>
      </w:r>
      <w:r w:rsidRPr="003015C7">
        <w:t xml:space="preserve"> les bactériocines n’ont pas d’activité contre les bactéries Gram-négatif. Cependant, les modes d’action des bactériocines sur la membrane sont variés.</w:t>
      </w:r>
    </w:p>
    <w:p w:rsidR="001548BA" w:rsidRPr="003015C7" w:rsidRDefault="001548BA" w:rsidP="001548BA">
      <w:pPr>
        <w:autoSpaceDE w:val="0"/>
        <w:autoSpaceDN w:val="0"/>
        <w:adjustRightInd w:val="0"/>
        <w:spacing w:before="120" w:after="120" w:line="360" w:lineRule="auto"/>
        <w:ind w:firstLine="708"/>
        <w:jc w:val="both"/>
        <w:rPr>
          <w:b/>
          <w:bCs/>
        </w:rPr>
      </w:pPr>
      <w:r w:rsidRPr="00D90247">
        <w:rPr>
          <w:b/>
          <w:sz w:val="28"/>
          <w:szCs w:val="28"/>
        </w:rPr>
        <w:t>III</w:t>
      </w:r>
      <w:r w:rsidRPr="00A916D5">
        <w:rPr>
          <w:b/>
        </w:rPr>
        <w:t>.</w:t>
      </w:r>
      <w:r>
        <w:rPr>
          <w:b/>
        </w:rPr>
        <w:t>6</w:t>
      </w:r>
      <w:r w:rsidRPr="00A916D5">
        <w:rPr>
          <w:b/>
        </w:rPr>
        <w:t>.</w:t>
      </w:r>
      <w:r>
        <w:rPr>
          <w:b/>
        </w:rPr>
        <w:t xml:space="preserve">1. </w:t>
      </w:r>
      <w:r w:rsidRPr="003015C7">
        <w:rPr>
          <w:b/>
          <w:bCs/>
        </w:rPr>
        <w:t>Les lantibiotiques</w:t>
      </w:r>
    </w:p>
    <w:p w:rsidR="001548BA" w:rsidRPr="003015C7" w:rsidRDefault="001548BA" w:rsidP="001548BA">
      <w:pPr>
        <w:autoSpaceDE w:val="0"/>
        <w:autoSpaceDN w:val="0"/>
        <w:adjustRightInd w:val="0"/>
        <w:spacing w:before="120" w:after="120" w:line="360" w:lineRule="auto"/>
        <w:ind w:firstLine="708"/>
        <w:jc w:val="both"/>
      </w:pPr>
      <w:r w:rsidRPr="003015C7">
        <w:t>Les lantibiotiques interagissent avec la membrane cellulaire par des interactions électrostatiques</w:t>
      </w:r>
      <w:r>
        <w:t>,</w:t>
      </w:r>
      <w:r w:rsidRPr="003015C7">
        <w:t xml:space="preserve"> ou par liaison à des récepteurs spécifiques tels que le lipide II</w:t>
      </w:r>
      <w:r>
        <w:t xml:space="preserve"> ou</w:t>
      </w:r>
      <w:r w:rsidRPr="003015C7">
        <w:t xml:space="preserve"> un précurseur de peptidoglycanes dont la structure se trouve à la </w:t>
      </w:r>
      <w:r w:rsidRPr="00B17385">
        <w:rPr>
          <w:color w:val="0000FF"/>
        </w:rPr>
        <w:t xml:space="preserve">figure </w:t>
      </w:r>
      <w:r>
        <w:rPr>
          <w:color w:val="0000FF"/>
        </w:rPr>
        <w:t>12</w:t>
      </w:r>
    </w:p>
    <w:p w:rsidR="001548BA" w:rsidRDefault="001548BA" w:rsidP="001548BA">
      <w:pPr>
        <w:autoSpaceDE w:val="0"/>
        <w:autoSpaceDN w:val="0"/>
        <w:adjustRightInd w:val="0"/>
        <w:spacing w:before="120" w:after="120" w:line="360" w:lineRule="auto"/>
        <w:ind w:firstLine="708"/>
        <w:jc w:val="both"/>
      </w:pPr>
      <w:r w:rsidRPr="003015C7">
        <w:t>Suite à cette liaison, les lantibiotiques peuvent former des pores larges et non spécifiques dans la membrane cytoplasmique, ce qui va causer l’efflux rapide de petits composés cytoplasmiques tels que les ions, les acides aminés, l’ATP…</w:t>
      </w:r>
    </w:p>
    <w:p w:rsidR="001548BA" w:rsidRPr="003015C7" w:rsidRDefault="001548BA" w:rsidP="001548BA">
      <w:pPr>
        <w:autoSpaceDE w:val="0"/>
        <w:autoSpaceDN w:val="0"/>
        <w:adjustRightInd w:val="0"/>
        <w:spacing w:before="120" w:after="120" w:line="360" w:lineRule="auto"/>
        <w:ind w:firstLine="708"/>
        <w:jc w:val="both"/>
      </w:pPr>
      <w:r w:rsidRPr="003015C7">
        <w:t xml:space="preserve">Cette augmentation de la perméabilité membranaire va conduire à la dissipation des deux composantes de la force proton motrice, c’est à dire le potentiel transmembranaire et le gradient de </w:t>
      </w:r>
      <w:r>
        <w:t>pH</w:t>
      </w:r>
      <w:r w:rsidRPr="003015C7">
        <w:t xml:space="preserve"> à la cessation rapide des activités cellulaires et </w:t>
      </w:r>
      <w:r>
        <w:t>à</w:t>
      </w:r>
      <w:r w:rsidRPr="003015C7">
        <w:t xml:space="preserve"> la mort de la cellule.</w:t>
      </w:r>
    </w:p>
    <w:p w:rsidR="001548BA" w:rsidRDefault="001548BA" w:rsidP="001548BA">
      <w:pPr>
        <w:autoSpaceDE w:val="0"/>
        <w:autoSpaceDN w:val="0"/>
        <w:adjustRightInd w:val="0"/>
        <w:spacing w:before="120" w:after="120" w:line="360" w:lineRule="auto"/>
        <w:ind w:firstLine="708"/>
        <w:jc w:val="both"/>
      </w:pPr>
      <w:r w:rsidRPr="003015C7">
        <w:t xml:space="preserve">L’interaction avec le lipide II permet d’augmenter la stabilité des pores formés et de réduire la concentration du lantibiotique nécessaire pour former un pore </w:t>
      </w:r>
      <w:r w:rsidRPr="00B17385">
        <w:rPr>
          <w:color w:val="0000FF"/>
        </w:rPr>
        <w:t xml:space="preserve">(Patton </w:t>
      </w:r>
      <w:r w:rsidRPr="00B17385">
        <w:rPr>
          <w:i/>
          <w:iCs/>
          <w:color w:val="0000FF"/>
        </w:rPr>
        <w:t xml:space="preserve">et al., </w:t>
      </w:r>
      <w:r w:rsidRPr="00B17385">
        <w:rPr>
          <w:color w:val="0000FF"/>
        </w:rPr>
        <w:t>2005)</w:t>
      </w:r>
      <w:r w:rsidRPr="003015C7">
        <w:t xml:space="preserve">. </w:t>
      </w:r>
    </w:p>
    <w:p w:rsidR="001548BA" w:rsidRDefault="001548BA" w:rsidP="001548BA">
      <w:pPr>
        <w:autoSpaceDE w:val="0"/>
        <w:autoSpaceDN w:val="0"/>
        <w:adjustRightInd w:val="0"/>
        <w:spacing w:before="120" w:after="120" w:line="360" w:lineRule="auto"/>
        <w:ind w:firstLine="708"/>
        <w:jc w:val="both"/>
        <w:rPr>
          <w:color w:val="0000FF"/>
        </w:rPr>
      </w:pPr>
      <w:r w:rsidRPr="003015C7">
        <w:t>La liaison des lantibiotiques avec le lipide II peut également conduire à l’inhibition de la synthèse de la paroi cellulaire. D’autre part, certains lantibiotiques peuvent inhiber la sporulation</w:t>
      </w:r>
      <w:r w:rsidRPr="003015C7">
        <w:rPr>
          <w:color w:val="0000FF"/>
        </w:rPr>
        <w:t xml:space="preserve"> (McAuliffe </w:t>
      </w:r>
      <w:r w:rsidRPr="003015C7">
        <w:rPr>
          <w:i/>
          <w:iCs/>
          <w:color w:val="0000FF"/>
        </w:rPr>
        <w:t>et al</w:t>
      </w:r>
      <w:r w:rsidRPr="003015C7">
        <w:rPr>
          <w:color w:val="0000FF"/>
        </w:rPr>
        <w:t xml:space="preserve">., 2001 ; Bauer </w:t>
      </w:r>
      <w:r w:rsidRPr="003015C7">
        <w:rPr>
          <w:i/>
          <w:iCs/>
          <w:color w:val="0000FF"/>
        </w:rPr>
        <w:t>et al</w:t>
      </w:r>
      <w:r w:rsidRPr="003015C7">
        <w:rPr>
          <w:color w:val="0000FF"/>
        </w:rPr>
        <w:t xml:space="preserve">., 2005 ; Patton </w:t>
      </w:r>
      <w:r w:rsidRPr="003015C7">
        <w:rPr>
          <w:i/>
          <w:iCs/>
          <w:color w:val="0000FF"/>
        </w:rPr>
        <w:t>et al</w:t>
      </w:r>
      <w:r w:rsidRPr="003015C7">
        <w:rPr>
          <w:color w:val="0000FF"/>
        </w:rPr>
        <w:t>., 2005).</w:t>
      </w:r>
    </w:p>
    <w:p w:rsidR="001548BA" w:rsidRPr="003015C7" w:rsidRDefault="001548BA" w:rsidP="001548BA">
      <w:pPr>
        <w:autoSpaceDE w:val="0"/>
        <w:autoSpaceDN w:val="0"/>
        <w:adjustRightInd w:val="0"/>
        <w:spacing w:before="120" w:after="120" w:line="360" w:lineRule="auto"/>
        <w:ind w:firstLine="708"/>
        <w:jc w:val="both"/>
      </w:pPr>
      <w:r w:rsidRPr="003015C7">
        <w:t xml:space="preserve">Les lantibiotiques de type A dissipent la force proton-motrice par formation de pores et interfèrent avec la synthèse des peptidoglycanes alors que la plupart des lantibiotiques de type B agissent par inhibition de la synthèse des peptidoglycanes. </w:t>
      </w:r>
    </w:p>
    <w:p w:rsidR="001548BA" w:rsidRPr="003015C7" w:rsidRDefault="001548BA" w:rsidP="001548BA">
      <w:pPr>
        <w:autoSpaceDE w:val="0"/>
        <w:autoSpaceDN w:val="0"/>
        <w:adjustRightInd w:val="0"/>
        <w:spacing w:before="120" w:after="120" w:line="360" w:lineRule="auto"/>
        <w:ind w:firstLine="708"/>
        <w:jc w:val="both"/>
        <w:rPr>
          <w:color w:val="FF0000"/>
        </w:rPr>
      </w:pPr>
      <w:r w:rsidRPr="003015C7">
        <w:t xml:space="preserve">Néanmoins, certains forment également des pores dans la membrane des cellules cibles </w:t>
      </w:r>
      <w:r w:rsidRPr="003015C7">
        <w:rPr>
          <w:color w:val="0000FF"/>
        </w:rPr>
        <w:t xml:space="preserve">(Bauer </w:t>
      </w:r>
      <w:r w:rsidRPr="003015C7">
        <w:rPr>
          <w:i/>
          <w:iCs/>
          <w:color w:val="0000FF"/>
        </w:rPr>
        <w:t>et al</w:t>
      </w:r>
      <w:r w:rsidRPr="003015C7">
        <w:rPr>
          <w:color w:val="0000FF"/>
        </w:rPr>
        <w:t xml:space="preserve">., 2005; Patton </w:t>
      </w:r>
      <w:r w:rsidRPr="003015C7">
        <w:rPr>
          <w:i/>
          <w:iCs/>
          <w:color w:val="0000FF"/>
        </w:rPr>
        <w:t>et al</w:t>
      </w:r>
      <w:r w:rsidRPr="003015C7">
        <w:rPr>
          <w:color w:val="0000FF"/>
        </w:rPr>
        <w:t>., 2005)</w:t>
      </w:r>
      <w:r w:rsidRPr="003015C7">
        <w:t>.</w:t>
      </w:r>
      <w:r w:rsidRPr="003015C7">
        <w:rPr>
          <w:color w:val="0000FF"/>
        </w:rPr>
        <w:t xml:space="preserve"> </w:t>
      </w:r>
      <w:r w:rsidRPr="003015C7">
        <w:t>La nisine, un lantibiotique de type A, interagit avec le lipide II au niveau du MurNAc tandis que la mersacidine, un lantibiotique de type B, interagit avec le GlcNAc du lipide II</w:t>
      </w:r>
      <w:r w:rsidRPr="003015C7">
        <w:rPr>
          <w:color w:val="FF0000"/>
        </w:rPr>
        <w:t xml:space="preserve"> </w:t>
      </w:r>
      <w:r w:rsidRPr="003015C7">
        <w:rPr>
          <w:color w:val="0000FF"/>
        </w:rPr>
        <w:t xml:space="preserve">(Wiedemann </w:t>
      </w:r>
      <w:r w:rsidRPr="003015C7">
        <w:rPr>
          <w:i/>
          <w:iCs/>
          <w:color w:val="0000FF"/>
        </w:rPr>
        <w:t>et al</w:t>
      </w:r>
      <w:r w:rsidRPr="003015C7">
        <w:rPr>
          <w:color w:val="0000FF"/>
        </w:rPr>
        <w:t>., 2006)</w:t>
      </w:r>
      <w:r w:rsidRPr="003015C7">
        <w:t>.</w:t>
      </w:r>
      <w:r w:rsidRPr="0081645E">
        <w:t xml:space="preserve"> </w:t>
      </w:r>
      <w:r w:rsidRPr="003015C7">
        <w:t xml:space="preserve">Certains lantibiotiques ont besoin de deux peptides qui agissent ensemble pour avoir une activité.  </w:t>
      </w:r>
    </w:p>
    <w:p w:rsidR="001548BA" w:rsidRPr="003015C7" w:rsidRDefault="001548BA" w:rsidP="001548BA">
      <w:pPr>
        <w:autoSpaceDE w:val="0"/>
        <w:autoSpaceDN w:val="0"/>
        <w:adjustRightInd w:val="0"/>
        <w:spacing w:before="120" w:after="120" w:line="360" w:lineRule="auto"/>
        <w:jc w:val="both"/>
      </w:pPr>
      <w:r>
        <w:rPr>
          <w:noProof/>
        </w:rPr>
        <w:lastRenderedPageBreak/>
        <w:drawing>
          <wp:anchor distT="0" distB="0" distL="114300" distR="114300" simplePos="0" relativeHeight="251659264" behindDoc="0" locked="0" layoutInCell="1" allowOverlap="1">
            <wp:simplePos x="0" y="0"/>
            <wp:positionH relativeFrom="column">
              <wp:posOffset>1187450</wp:posOffset>
            </wp:positionH>
            <wp:positionV relativeFrom="paragraph">
              <wp:posOffset>131445</wp:posOffset>
            </wp:positionV>
            <wp:extent cx="3869690" cy="6626225"/>
            <wp:effectExtent l="19050" t="0" r="0" b="0"/>
            <wp:wrapSquare wrapText="right"/>
            <wp:docPr id="34"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3869690" cy="6626225"/>
                    </a:xfrm>
                    <a:prstGeom prst="rect">
                      <a:avLst/>
                    </a:prstGeom>
                    <a:noFill/>
                    <a:ln w="9525">
                      <a:noFill/>
                      <a:miter lim="800000"/>
                      <a:headEnd/>
                      <a:tailEnd/>
                    </a:ln>
                  </pic:spPr>
                </pic:pic>
              </a:graphicData>
            </a:graphic>
          </wp:anchor>
        </w:drawing>
      </w:r>
    </w:p>
    <w:p w:rsidR="001548BA" w:rsidRPr="003015C7" w:rsidRDefault="001548BA" w:rsidP="001548BA">
      <w:pPr>
        <w:autoSpaceDE w:val="0"/>
        <w:autoSpaceDN w:val="0"/>
        <w:adjustRightInd w:val="0"/>
        <w:spacing w:line="360" w:lineRule="auto"/>
        <w:jc w:val="both"/>
      </w:pPr>
    </w:p>
    <w:p w:rsidR="001548BA" w:rsidRPr="003015C7" w:rsidRDefault="001548BA" w:rsidP="001548BA">
      <w:pPr>
        <w:autoSpaceDE w:val="0"/>
        <w:autoSpaceDN w:val="0"/>
        <w:adjustRightInd w:val="0"/>
        <w:spacing w:line="360" w:lineRule="auto"/>
        <w:jc w:val="both"/>
      </w:pPr>
    </w:p>
    <w:p w:rsidR="001548BA" w:rsidRPr="003015C7" w:rsidRDefault="001548BA" w:rsidP="001548BA">
      <w:pPr>
        <w:autoSpaceDE w:val="0"/>
        <w:autoSpaceDN w:val="0"/>
        <w:adjustRightInd w:val="0"/>
        <w:spacing w:line="360" w:lineRule="auto"/>
        <w:jc w:val="both"/>
      </w:pPr>
    </w:p>
    <w:p w:rsidR="001548BA" w:rsidRPr="003015C7" w:rsidRDefault="001548BA" w:rsidP="001548BA">
      <w:pPr>
        <w:autoSpaceDE w:val="0"/>
        <w:autoSpaceDN w:val="0"/>
        <w:adjustRightInd w:val="0"/>
        <w:spacing w:line="360" w:lineRule="auto"/>
        <w:jc w:val="both"/>
      </w:pPr>
    </w:p>
    <w:p w:rsidR="001548BA" w:rsidRPr="003015C7" w:rsidRDefault="001548BA" w:rsidP="001548BA">
      <w:pPr>
        <w:autoSpaceDE w:val="0"/>
        <w:autoSpaceDN w:val="0"/>
        <w:adjustRightInd w:val="0"/>
        <w:spacing w:line="360" w:lineRule="auto"/>
        <w:jc w:val="both"/>
      </w:pPr>
    </w:p>
    <w:p w:rsidR="001548BA" w:rsidRPr="003015C7" w:rsidRDefault="001548BA" w:rsidP="001548BA">
      <w:pPr>
        <w:autoSpaceDE w:val="0"/>
        <w:autoSpaceDN w:val="0"/>
        <w:adjustRightInd w:val="0"/>
        <w:spacing w:line="360" w:lineRule="auto"/>
        <w:jc w:val="both"/>
      </w:pPr>
    </w:p>
    <w:p w:rsidR="001548BA" w:rsidRPr="003015C7" w:rsidRDefault="001548BA" w:rsidP="001548BA">
      <w:pPr>
        <w:autoSpaceDE w:val="0"/>
        <w:autoSpaceDN w:val="0"/>
        <w:adjustRightInd w:val="0"/>
        <w:spacing w:line="360" w:lineRule="auto"/>
        <w:jc w:val="both"/>
      </w:pPr>
    </w:p>
    <w:p w:rsidR="001548BA" w:rsidRPr="003015C7" w:rsidRDefault="001548BA" w:rsidP="001548BA">
      <w:pPr>
        <w:autoSpaceDE w:val="0"/>
        <w:autoSpaceDN w:val="0"/>
        <w:adjustRightInd w:val="0"/>
        <w:spacing w:line="360" w:lineRule="auto"/>
        <w:jc w:val="both"/>
      </w:pPr>
    </w:p>
    <w:p w:rsidR="001548BA" w:rsidRPr="003015C7" w:rsidRDefault="001548BA" w:rsidP="001548BA">
      <w:pPr>
        <w:autoSpaceDE w:val="0"/>
        <w:autoSpaceDN w:val="0"/>
        <w:adjustRightInd w:val="0"/>
        <w:spacing w:line="360" w:lineRule="auto"/>
        <w:jc w:val="both"/>
      </w:pPr>
    </w:p>
    <w:p w:rsidR="001548BA" w:rsidRPr="003015C7" w:rsidRDefault="001548BA" w:rsidP="001548BA">
      <w:pPr>
        <w:autoSpaceDE w:val="0"/>
        <w:autoSpaceDN w:val="0"/>
        <w:adjustRightInd w:val="0"/>
        <w:spacing w:line="360" w:lineRule="auto"/>
        <w:jc w:val="both"/>
      </w:pPr>
    </w:p>
    <w:p w:rsidR="001548BA" w:rsidRPr="003015C7" w:rsidRDefault="001548BA" w:rsidP="001548BA">
      <w:pPr>
        <w:autoSpaceDE w:val="0"/>
        <w:autoSpaceDN w:val="0"/>
        <w:adjustRightInd w:val="0"/>
        <w:spacing w:line="360" w:lineRule="auto"/>
        <w:jc w:val="both"/>
      </w:pPr>
    </w:p>
    <w:p w:rsidR="001548BA" w:rsidRPr="003015C7" w:rsidRDefault="001548BA" w:rsidP="001548BA">
      <w:pPr>
        <w:autoSpaceDE w:val="0"/>
        <w:autoSpaceDN w:val="0"/>
        <w:adjustRightInd w:val="0"/>
        <w:spacing w:line="360" w:lineRule="auto"/>
        <w:jc w:val="both"/>
      </w:pPr>
    </w:p>
    <w:p w:rsidR="001548BA" w:rsidRPr="003015C7" w:rsidRDefault="001548BA" w:rsidP="001548BA">
      <w:pPr>
        <w:autoSpaceDE w:val="0"/>
        <w:autoSpaceDN w:val="0"/>
        <w:adjustRightInd w:val="0"/>
        <w:spacing w:line="360" w:lineRule="auto"/>
        <w:jc w:val="both"/>
      </w:pPr>
    </w:p>
    <w:p w:rsidR="001548BA" w:rsidRPr="003015C7" w:rsidRDefault="001548BA" w:rsidP="001548BA">
      <w:pPr>
        <w:autoSpaceDE w:val="0"/>
        <w:autoSpaceDN w:val="0"/>
        <w:adjustRightInd w:val="0"/>
        <w:spacing w:line="360" w:lineRule="auto"/>
        <w:jc w:val="both"/>
      </w:pPr>
    </w:p>
    <w:p w:rsidR="001548BA" w:rsidRDefault="001548BA" w:rsidP="001548BA">
      <w:pPr>
        <w:autoSpaceDE w:val="0"/>
        <w:autoSpaceDN w:val="0"/>
        <w:adjustRightInd w:val="0"/>
        <w:jc w:val="both"/>
        <w:rPr>
          <w:b/>
          <w:bCs/>
          <w:u w:val="single"/>
        </w:rPr>
      </w:pPr>
      <w:r w:rsidRPr="003015C7">
        <w:br w:type="textWrapping" w:clear="all"/>
      </w:r>
    </w:p>
    <w:p w:rsidR="001548BA" w:rsidRPr="003015C7" w:rsidRDefault="001548BA" w:rsidP="001548BA">
      <w:pPr>
        <w:autoSpaceDE w:val="0"/>
        <w:autoSpaceDN w:val="0"/>
        <w:adjustRightInd w:val="0"/>
        <w:ind w:left="993" w:hanging="993"/>
        <w:jc w:val="both"/>
        <w:rPr>
          <w:color w:val="000000"/>
        </w:rPr>
      </w:pPr>
      <w:r w:rsidRPr="00B17385">
        <w:rPr>
          <w:b/>
          <w:bCs/>
          <w:u w:val="single"/>
        </w:rPr>
        <w:t xml:space="preserve">Figure </w:t>
      </w:r>
      <w:r>
        <w:rPr>
          <w:b/>
          <w:bCs/>
          <w:u w:val="single"/>
        </w:rPr>
        <w:t>12</w:t>
      </w:r>
      <w:r w:rsidRPr="003015C7">
        <w:rPr>
          <w:b/>
          <w:bCs/>
        </w:rPr>
        <w:t xml:space="preserve">: </w:t>
      </w:r>
      <w:r w:rsidRPr="003015C7">
        <w:rPr>
          <w:color w:val="000000"/>
        </w:rPr>
        <w:t xml:space="preserve">Détournement  des lipides II pour la  formation des pores. (a) La structure des lipides II est composée d’un acide N-acetylglucosamine-b-1,4-N-acetylmuramic disaccharide (GlcNAc–MurNAc), lequel est attaché par un pyrophosphate à une ancre membranaire de  11 unités isoprène (undecaprenylpyrophosphate). (b) l’amino-terminus d’adhésion de la nisin aux lipides II alors que le carboxy-terminus s’insert à la membrane bactérienne. (c) </w:t>
      </w:r>
      <w:smartTag w:uri="urn:schemas-microsoft-com:office:smarttags" w:element="PersonName">
        <w:smartTagPr>
          <w:attr w:name="ProductID" w:val="La Nisin"/>
        </w:smartTagPr>
        <w:r w:rsidRPr="003015C7">
          <w:rPr>
            <w:color w:val="000000"/>
          </w:rPr>
          <w:t>La Nisin</w:t>
        </w:r>
      </w:smartTag>
      <w:r w:rsidRPr="003015C7">
        <w:rPr>
          <w:color w:val="000000"/>
        </w:rPr>
        <w:t xml:space="preserve"> est illustrée en rouge, la chaîne prenyl des lipides II est marqué en blanc, les atomes phosphate du groupe pyrophosphate sont montré en</w:t>
      </w:r>
      <w:r w:rsidRPr="003015C7">
        <w:t xml:space="preserve"> </w:t>
      </w:r>
      <w:r w:rsidRPr="003015C7">
        <w:rPr>
          <w:color w:val="000000"/>
        </w:rPr>
        <w:t>orange, et l’acide muramique en bleu. le N-acetylglucosamine (GlcNAc) est montré en magenta et la chaîne pentapeptide est présentée en jaune.</w:t>
      </w:r>
    </w:p>
    <w:p w:rsidR="001548BA" w:rsidRPr="003015C7" w:rsidRDefault="001548BA" w:rsidP="001548BA">
      <w:pPr>
        <w:autoSpaceDE w:val="0"/>
        <w:autoSpaceDN w:val="0"/>
        <w:adjustRightInd w:val="0"/>
        <w:spacing w:before="120" w:after="120" w:line="360" w:lineRule="auto"/>
        <w:ind w:firstLine="708"/>
        <w:jc w:val="both"/>
      </w:pPr>
      <w:r w:rsidRPr="003015C7">
        <w:lastRenderedPageBreak/>
        <w:t xml:space="preserve">Ces lantibiotiques sont aussi produits comme des prépeptides qui seront ensuite modifiés comme les lantibiotiques simples afin d’avoir tous les deux des acides aminés modifiés. La lacticin 3147, un « two-peptide lantibiotic » dont la séquence se trouve à la </w:t>
      </w:r>
      <w:r w:rsidRPr="00B16E68">
        <w:rPr>
          <w:color w:val="0000FF"/>
        </w:rPr>
        <w:t>figure 2</w:t>
      </w:r>
      <w:r w:rsidRPr="003015C7">
        <w:t xml:space="preserve">, agit également par formation de pores dans la membrane des cellules cibles </w:t>
      </w:r>
      <w:r w:rsidRPr="003015C7">
        <w:rPr>
          <w:color w:val="0000FF"/>
        </w:rPr>
        <w:t xml:space="preserve">(McAuliffe </w:t>
      </w:r>
      <w:r w:rsidRPr="003015C7">
        <w:rPr>
          <w:i/>
          <w:iCs/>
          <w:color w:val="0000FF"/>
        </w:rPr>
        <w:t>et al</w:t>
      </w:r>
      <w:r w:rsidRPr="003015C7">
        <w:rPr>
          <w:color w:val="0000FF"/>
        </w:rPr>
        <w:t>., 2001)</w:t>
      </w:r>
      <w:r w:rsidRPr="003015C7">
        <w:t xml:space="preserve">. Elle a un spectre d’action large. </w:t>
      </w:r>
    </w:p>
    <w:p w:rsidR="001548BA" w:rsidRPr="003015C7" w:rsidRDefault="001548BA" w:rsidP="001548BA">
      <w:pPr>
        <w:autoSpaceDE w:val="0"/>
        <w:autoSpaceDN w:val="0"/>
        <w:adjustRightInd w:val="0"/>
        <w:spacing w:before="120" w:after="120" w:line="360" w:lineRule="auto"/>
        <w:ind w:firstLine="708"/>
        <w:jc w:val="both"/>
        <w:rPr>
          <w:color w:val="0000FF"/>
        </w:rPr>
      </w:pPr>
      <w:r w:rsidRPr="003015C7">
        <w:t xml:space="preserve">Un des deux peptides, la lacticin A1, a une activité qui est plus élevée en présence du deuxième peptide, la lacticin A2. Il a été récemment proposé que la lacticin A1 agit en se liant au lipide II, inhibant la synthèse des peptidoglycanes et permettant à la lacticin A2 de former un pore dans la membrane de la cellule cible </w:t>
      </w:r>
      <w:r w:rsidRPr="003015C7">
        <w:rPr>
          <w:color w:val="0000FF"/>
        </w:rPr>
        <w:t xml:space="preserve">(Morgan </w:t>
      </w:r>
      <w:r w:rsidRPr="003015C7">
        <w:rPr>
          <w:i/>
          <w:iCs/>
          <w:color w:val="0000FF"/>
        </w:rPr>
        <w:t>et al</w:t>
      </w:r>
      <w:r w:rsidRPr="003015C7">
        <w:rPr>
          <w:color w:val="0000FF"/>
        </w:rPr>
        <w:t xml:space="preserve">., 2005; Wiedemann </w:t>
      </w:r>
      <w:r w:rsidRPr="003015C7">
        <w:rPr>
          <w:i/>
          <w:iCs/>
          <w:color w:val="0000FF"/>
        </w:rPr>
        <w:t>et al</w:t>
      </w:r>
      <w:r w:rsidRPr="003015C7">
        <w:rPr>
          <w:color w:val="0000FF"/>
        </w:rPr>
        <w:t>., 2006)</w:t>
      </w:r>
      <w:r w:rsidRPr="003015C7">
        <w:t>.</w:t>
      </w:r>
    </w:p>
    <w:p w:rsidR="001548BA" w:rsidRPr="003015C7" w:rsidRDefault="001548BA" w:rsidP="001548BA">
      <w:pPr>
        <w:autoSpaceDE w:val="0"/>
        <w:autoSpaceDN w:val="0"/>
        <w:adjustRightInd w:val="0"/>
        <w:spacing w:before="120" w:after="120" w:line="360" w:lineRule="auto"/>
        <w:jc w:val="both"/>
        <w:rPr>
          <w:b/>
          <w:bCs/>
          <w:color w:val="FF0000"/>
        </w:rPr>
      </w:pPr>
      <w:r w:rsidRPr="00D90247">
        <w:rPr>
          <w:b/>
          <w:sz w:val="28"/>
          <w:szCs w:val="28"/>
        </w:rPr>
        <w:t>III</w:t>
      </w:r>
      <w:r w:rsidRPr="00A916D5">
        <w:rPr>
          <w:b/>
        </w:rPr>
        <w:t>.</w:t>
      </w:r>
      <w:r>
        <w:rPr>
          <w:b/>
        </w:rPr>
        <w:t>6</w:t>
      </w:r>
      <w:r w:rsidRPr="00A916D5">
        <w:rPr>
          <w:b/>
        </w:rPr>
        <w:t>.</w:t>
      </w:r>
      <w:r>
        <w:rPr>
          <w:b/>
        </w:rPr>
        <w:t xml:space="preserve">2. </w:t>
      </w:r>
      <w:r w:rsidRPr="001A23A5">
        <w:rPr>
          <w:b/>
          <w:bCs/>
        </w:rPr>
        <w:t>Les bactériocines de classe II</w:t>
      </w:r>
    </w:p>
    <w:p w:rsidR="001548BA" w:rsidRPr="003015C7" w:rsidRDefault="001548BA" w:rsidP="001548BA">
      <w:pPr>
        <w:autoSpaceDE w:val="0"/>
        <w:autoSpaceDN w:val="0"/>
        <w:adjustRightInd w:val="0"/>
        <w:spacing w:before="120" w:after="120" w:line="360" w:lineRule="auto"/>
        <w:ind w:firstLine="708"/>
        <w:jc w:val="both"/>
        <w:rPr>
          <w:color w:val="0000FF"/>
        </w:rPr>
      </w:pPr>
      <w:r w:rsidRPr="003015C7">
        <w:t>Le mécanisme d’action supposé des bactériocines de classe IIa est l’interaction de la  bactériocine avec la membrane ou un récepteur, la mannose perméase, pour ensuite former un pore dans la membrane de la cellule ce qui induit la perméabilisation de la membrane et la mort de la cellule</w:t>
      </w:r>
      <w:r w:rsidRPr="003015C7">
        <w:rPr>
          <w:color w:val="0000FF"/>
        </w:rPr>
        <w:t xml:space="preserve"> (Héchard </w:t>
      </w:r>
      <w:r w:rsidRPr="003015C7">
        <w:rPr>
          <w:i/>
          <w:iCs/>
          <w:color w:val="0000FF"/>
        </w:rPr>
        <w:t>et al</w:t>
      </w:r>
      <w:r w:rsidRPr="003015C7">
        <w:rPr>
          <w:color w:val="0000FF"/>
        </w:rPr>
        <w:t xml:space="preserve">., 2001; Gravesen </w:t>
      </w:r>
      <w:r w:rsidRPr="003015C7">
        <w:rPr>
          <w:i/>
          <w:iCs/>
          <w:color w:val="0000FF"/>
        </w:rPr>
        <w:t>et al</w:t>
      </w:r>
      <w:r w:rsidRPr="003015C7">
        <w:rPr>
          <w:color w:val="0000FF"/>
        </w:rPr>
        <w:t>., 2002)</w:t>
      </w:r>
      <w:r w:rsidRPr="003015C7">
        <w:t>.</w:t>
      </w:r>
    </w:p>
    <w:p w:rsidR="001548BA" w:rsidRPr="003015C7" w:rsidRDefault="001548BA" w:rsidP="001548BA">
      <w:pPr>
        <w:autoSpaceDE w:val="0"/>
        <w:autoSpaceDN w:val="0"/>
        <w:adjustRightInd w:val="0"/>
        <w:spacing w:before="120" w:after="120" w:line="360" w:lineRule="auto"/>
        <w:ind w:firstLine="708"/>
        <w:jc w:val="both"/>
        <w:rPr>
          <w:color w:val="0000FF"/>
        </w:rPr>
      </w:pPr>
      <w:r w:rsidRPr="003015C7">
        <w:t>Le mécanisme de formation des pores n’est pas connu même si l’hypothèse la plus courante est l’assemblage de différentes molécules de la bactériocine</w:t>
      </w:r>
      <w:r w:rsidRPr="003015C7">
        <w:rPr>
          <w:color w:val="0000FF"/>
        </w:rPr>
        <w:t xml:space="preserve"> (Ennahar </w:t>
      </w:r>
      <w:r w:rsidRPr="003015C7">
        <w:rPr>
          <w:i/>
          <w:iCs/>
          <w:color w:val="0000FF"/>
        </w:rPr>
        <w:t>et al</w:t>
      </w:r>
      <w:r w:rsidRPr="003015C7">
        <w:rPr>
          <w:color w:val="0000FF"/>
        </w:rPr>
        <w:t>., 2000</w:t>
      </w:r>
      <w:r>
        <w:rPr>
          <w:color w:val="0000FF"/>
        </w:rPr>
        <w:t xml:space="preserve"> </w:t>
      </w:r>
      <w:r w:rsidRPr="003015C7">
        <w:rPr>
          <w:color w:val="0000FF"/>
        </w:rPr>
        <w:t xml:space="preserve">; Fimland </w:t>
      </w:r>
      <w:r w:rsidRPr="003015C7">
        <w:rPr>
          <w:i/>
          <w:iCs/>
          <w:color w:val="0000FF"/>
        </w:rPr>
        <w:t>et al</w:t>
      </w:r>
      <w:r w:rsidRPr="003015C7">
        <w:rPr>
          <w:color w:val="0000FF"/>
        </w:rPr>
        <w:t>., 2000</w:t>
      </w:r>
      <w:r>
        <w:rPr>
          <w:color w:val="0000FF"/>
        </w:rPr>
        <w:t xml:space="preserve"> </w:t>
      </w:r>
      <w:r w:rsidRPr="003015C7">
        <w:rPr>
          <w:color w:val="0000FF"/>
        </w:rPr>
        <w:t xml:space="preserve">; Diep </w:t>
      </w:r>
      <w:r w:rsidRPr="003015C7">
        <w:rPr>
          <w:i/>
          <w:iCs/>
          <w:color w:val="0000FF"/>
        </w:rPr>
        <w:t>et al</w:t>
      </w:r>
      <w:r w:rsidRPr="003015C7">
        <w:rPr>
          <w:color w:val="0000FF"/>
        </w:rPr>
        <w:t>., 2007)</w:t>
      </w:r>
      <w:r w:rsidRPr="003015C7">
        <w:t>.</w:t>
      </w:r>
      <w:r w:rsidRPr="003015C7">
        <w:rPr>
          <w:color w:val="0000FF"/>
        </w:rPr>
        <w:t xml:space="preserve"> </w:t>
      </w:r>
    </w:p>
    <w:p w:rsidR="001548BA" w:rsidRPr="003015C7" w:rsidRDefault="001548BA" w:rsidP="001548BA">
      <w:pPr>
        <w:autoSpaceDE w:val="0"/>
        <w:autoSpaceDN w:val="0"/>
        <w:adjustRightInd w:val="0"/>
        <w:spacing w:before="120" w:after="120" w:line="360" w:lineRule="auto"/>
        <w:ind w:firstLine="708"/>
        <w:jc w:val="both"/>
        <w:rPr>
          <w:color w:val="FF0000"/>
        </w:rPr>
      </w:pPr>
      <w:r w:rsidRPr="003015C7">
        <w:t>Les pores formés par les bactériocines de classe IIa causent la perte d’ion potassium ainsi que d’acides aminés</w:t>
      </w:r>
      <w:r>
        <w:t xml:space="preserve"> </w:t>
      </w:r>
      <w:r w:rsidRPr="003015C7">
        <w:t>et d’autres molécules de faible poids moléculaire</w:t>
      </w:r>
      <w:r>
        <w:t>,</w:t>
      </w:r>
      <w:r w:rsidRPr="003015C7">
        <w:t xml:space="preserve">  ce qui dissipe les deux composantes de la force proton motrice </w:t>
      </w:r>
      <w:r w:rsidRPr="003015C7">
        <w:rPr>
          <w:color w:val="0000FF"/>
        </w:rPr>
        <w:t xml:space="preserve">(Bauer </w:t>
      </w:r>
      <w:r w:rsidRPr="003015C7">
        <w:rPr>
          <w:i/>
          <w:iCs/>
          <w:color w:val="0000FF"/>
        </w:rPr>
        <w:t>et al</w:t>
      </w:r>
      <w:r w:rsidRPr="003015C7">
        <w:rPr>
          <w:color w:val="0000FF"/>
        </w:rPr>
        <w:t>., 2005)</w:t>
      </w:r>
      <w:r w:rsidRPr="003015C7">
        <w:t>.</w:t>
      </w:r>
    </w:p>
    <w:p w:rsidR="001548BA" w:rsidRPr="003015C7" w:rsidRDefault="001548BA" w:rsidP="001548BA">
      <w:pPr>
        <w:autoSpaceDE w:val="0"/>
        <w:autoSpaceDN w:val="0"/>
        <w:adjustRightInd w:val="0"/>
        <w:spacing w:before="120" w:after="120" w:line="360" w:lineRule="auto"/>
        <w:ind w:firstLine="708"/>
        <w:jc w:val="both"/>
        <w:rPr>
          <w:color w:val="FF0000"/>
        </w:rPr>
      </w:pPr>
      <w:r w:rsidRPr="003015C7">
        <w:t xml:space="preserve">Les bactériocines de classe IIb ont en général un spectre d’action inhibant une large gamme de bactéries Gram-positif. Elles rendent la membrane perméable à différentes petites molécules, des cations monovalents ou des anions, ce qui dissipe une ou les deux composantes de la force proton motrice. Les ions transportés sont spécifiques de la bactériocine </w:t>
      </w:r>
      <w:r w:rsidRPr="003015C7">
        <w:rPr>
          <w:color w:val="0000FF"/>
        </w:rPr>
        <w:t xml:space="preserve">(Oppegard </w:t>
      </w:r>
      <w:r w:rsidRPr="003015C7">
        <w:rPr>
          <w:i/>
          <w:iCs/>
          <w:color w:val="0000FF"/>
        </w:rPr>
        <w:t>et al</w:t>
      </w:r>
      <w:r w:rsidRPr="003015C7">
        <w:rPr>
          <w:color w:val="0000FF"/>
        </w:rPr>
        <w:t>., 2007)</w:t>
      </w:r>
      <w:r w:rsidRPr="003015C7">
        <w:t>.</w:t>
      </w:r>
    </w:p>
    <w:p w:rsidR="001548BA" w:rsidRPr="003015C7" w:rsidRDefault="001548BA" w:rsidP="001548BA">
      <w:pPr>
        <w:autoSpaceDE w:val="0"/>
        <w:autoSpaceDN w:val="0"/>
        <w:adjustRightInd w:val="0"/>
        <w:spacing w:before="120" w:after="120" w:line="360" w:lineRule="auto"/>
        <w:ind w:firstLine="708"/>
        <w:jc w:val="both"/>
      </w:pPr>
      <w:r w:rsidRPr="003015C7">
        <w:t xml:space="preserve">Le ratio optimal d’activité de la plupart de ces bactériocines est 1:1 </w:t>
      </w:r>
      <w:r w:rsidRPr="003015C7">
        <w:rPr>
          <w:color w:val="0000FF"/>
        </w:rPr>
        <w:t xml:space="preserve">(Oppegard </w:t>
      </w:r>
      <w:r w:rsidRPr="003015C7">
        <w:rPr>
          <w:i/>
          <w:iCs/>
          <w:color w:val="0000FF"/>
        </w:rPr>
        <w:t>et al</w:t>
      </w:r>
      <w:r w:rsidRPr="003015C7">
        <w:rPr>
          <w:color w:val="0000FF"/>
        </w:rPr>
        <w:t>., 2007)</w:t>
      </w:r>
      <w:r w:rsidRPr="003015C7">
        <w:t xml:space="preserve">. Pour la lactocin 705, il est de 4:1 </w:t>
      </w:r>
      <w:r w:rsidRPr="003015C7">
        <w:rPr>
          <w:color w:val="0000FF"/>
        </w:rPr>
        <w:t xml:space="preserve">(Castellano </w:t>
      </w:r>
      <w:r w:rsidRPr="003015C7">
        <w:rPr>
          <w:i/>
          <w:iCs/>
          <w:color w:val="0000FF"/>
        </w:rPr>
        <w:t>et al</w:t>
      </w:r>
      <w:r w:rsidRPr="003015C7">
        <w:rPr>
          <w:color w:val="0000FF"/>
        </w:rPr>
        <w:t>., 2007).</w:t>
      </w:r>
      <w:r w:rsidRPr="003015C7">
        <w:t xml:space="preserve"> </w:t>
      </w:r>
    </w:p>
    <w:p w:rsidR="001548BA" w:rsidRPr="003015C7" w:rsidRDefault="001548BA" w:rsidP="001548BA">
      <w:pPr>
        <w:autoSpaceDE w:val="0"/>
        <w:autoSpaceDN w:val="0"/>
        <w:adjustRightInd w:val="0"/>
        <w:spacing w:before="120" w:after="120" w:line="360" w:lineRule="auto"/>
        <w:ind w:firstLine="708"/>
        <w:jc w:val="both"/>
        <w:rPr>
          <w:color w:val="0000FF"/>
        </w:rPr>
      </w:pPr>
      <w:r w:rsidRPr="003015C7">
        <w:t xml:space="preserve">Néanmoins, les mécanismes d’interaction des deux bactériocines entre elles et avec la membrane cellulaire ne sont que très peu connus. Il a été montré qu’il n’y avait pas de liaison au même récepteur que pour les bactériocines de classe IIa (la mannose transférase) </w:t>
      </w:r>
      <w:r w:rsidRPr="003015C7">
        <w:rPr>
          <w:color w:val="0000FF"/>
        </w:rPr>
        <w:t xml:space="preserve">(Diep </w:t>
      </w:r>
      <w:r w:rsidRPr="003015C7">
        <w:rPr>
          <w:i/>
          <w:iCs/>
          <w:color w:val="0000FF"/>
        </w:rPr>
        <w:t>et al</w:t>
      </w:r>
      <w:r w:rsidRPr="003015C7">
        <w:rPr>
          <w:color w:val="0000FF"/>
        </w:rPr>
        <w:t>., 2007)</w:t>
      </w:r>
      <w:r w:rsidRPr="003015C7">
        <w:t>.</w:t>
      </w:r>
    </w:p>
    <w:p w:rsidR="001548BA" w:rsidRPr="003015C7" w:rsidRDefault="001548BA" w:rsidP="001548BA">
      <w:pPr>
        <w:autoSpaceDE w:val="0"/>
        <w:autoSpaceDN w:val="0"/>
        <w:adjustRightInd w:val="0"/>
        <w:spacing w:before="120" w:after="120" w:line="360" w:lineRule="auto"/>
        <w:ind w:firstLine="708"/>
        <w:jc w:val="both"/>
      </w:pPr>
      <w:r w:rsidRPr="003015C7">
        <w:rPr>
          <w:color w:val="0000FF"/>
        </w:rPr>
        <w:lastRenderedPageBreak/>
        <w:t xml:space="preserve">Castellano </w:t>
      </w:r>
      <w:r w:rsidRPr="003015C7">
        <w:rPr>
          <w:i/>
          <w:iCs/>
          <w:color w:val="0000FF"/>
        </w:rPr>
        <w:t>et al</w:t>
      </w:r>
      <w:r w:rsidRPr="003015C7">
        <w:rPr>
          <w:color w:val="0000FF"/>
        </w:rPr>
        <w:t xml:space="preserve">. (2007) </w:t>
      </w:r>
      <w:r w:rsidRPr="003015C7">
        <w:t>ont récemment montré que les deux peptides composant la lactocin 705 ont des activités bien spécifiques La lactocin 705</w:t>
      </w:r>
      <w:r w:rsidRPr="003015C7">
        <w:rPr>
          <w:rFonts w:eastAsia="TimesNewRoman"/>
        </w:rPr>
        <w:t xml:space="preserve">α </w:t>
      </w:r>
      <w:r w:rsidRPr="003015C7">
        <w:t>interagit avec la surface de la membrane cellulaire et la déshydrate. La lactocin 705</w:t>
      </w:r>
      <w:r w:rsidRPr="003015C7">
        <w:rPr>
          <w:rFonts w:eastAsia="TimesNewRoman"/>
        </w:rPr>
        <w:t xml:space="preserve">β </w:t>
      </w:r>
      <w:r w:rsidRPr="003015C7">
        <w:t>interagit avec cette partie déshydratée pour former des pores.</w:t>
      </w:r>
    </w:p>
    <w:p w:rsidR="001548BA" w:rsidRDefault="001548BA" w:rsidP="001548BA">
      <w:pPr>
        <w:autoSpaceDE w:val="0"/>
        <w:autoSpaceDN w:val="0"/>
        <w:adjustRightInd w:val="0"/>
        <w:spacing w:before="120" w:after="120" w:line="360" w:lineRule="auto"/>
        <w:ind w:firstLine="708"/>
        <w:jc w:val="both"/>
        <w:rPr>
          <w:b/>
          <w:bCs/>
          <w:color w:val="FF0000"/>
        </w:rPr>
      </w:pPr>
      <w:r w:rsidRPr="00D90247">
        <w:rPr>
          <w:b/>
          <w:sz w:val="28"/>
          <w:szCs w:val="28"/>
        </w:rPr>
        <w:t>III</w:t>
      </w:r>
      <w:r w:rsidRPr="00A916D5">
        <w:rPr>
          <w:b/>
        </w:rPr>
        <w:t>.</w:t>
      </w:r>
      <w:r>
        <w:rPr>
          <w:b/>
        </w:rPr>
        <w:t>6</w:t>
      </w:r>
      <w:r w:rsidRPr="00A916D5">
        <w:rPr>
          <w:b/>
        </w:rPr>
        <w:t>.</w:t>
      </w:r>
      <w:r>
        <w:rPr>
          <w:b/>
        </w:rPr>
        <w:t>3</w:t>
      </w:r>
      <w:r w:rsidRPr="001A23A5">
        <w:rPr>
          <w:b/>
        </w:rPr>
        <w:t xml:space="preserve">. </w:t>
      </w:r>
      <w:r w:rsidRPr="001A23A5">
        <w:rPr>
          <w:b/>
          <w:bCs/>
        </w:rPr>
        <w:t>Les bactériocines de classe III</w:t>
      </w:r>
    </w:p>
    <w:p w:rsidR="001548BA" w:rsidRPr="003015C7" w:rsidRDefault="001548BA" w:rsidP="001548BA">
      <w:pPr>
        <w:autoSpaceDE w:val="0"/>
        <w:autoSpaceDN w:val="0"/>
        <w:adjustRightInd w:val="0"/>
        <w:spacing w:before="120" w:after="120" w:line="360" w:lineRule="auto"/>
        <w:ind w:firstLine="708"/>
        <w:jc w:val="both"/>
        <w:rPr>
          <w:color w:val="0000FF"/>
        </w:rPr>
      </w:pPr>
      <w:r w:rsidRPr="003015C7">
        <w:t>Le mode d’action de ces bactériocines diffère complètement des bactériocines des autres classes. En effet, l’enterolysin A, la zoocin A et la millericin B agissent par l’hydrolyse des liens peptidiques des peptidoglycanes des cellules sensibles. La zoocin A a un spectre d’action étroit alors que l’enterolysin A et la millericin B ont un spectre d’action large. L’helveticin J a un mode d’action bactéricide</w:t>
      </w:r>
      <w:r w:rsidRPr="003015C7">
        <w:rPr>
          <w:color w:val="FF0000"/>
        </w:rPr>
        <w:t xml:space="preserve"> </w:t>
      </w:r>
      <w:r w:rsidRPr="003015C7">
        <w:rPr>
          <w:color w:val="0000FF"/>
        </w:rPr>
        <w:t xml:space="preserve">(Nilsen </w:t>
      </w:r>
      <w:r w:rsidRPr="003015C7">
        <w:rPr>
          <w:i/>
          <w:iCs/>
          <w:color w:val="0000FF"/>
        </w:rPr>
        <w:t>et al</w:t>
      </w:r>
      <w:r w:rsidRPr="003015C7">
        <w:rPr>
          <w:color w:val="0000FF"/>
        </w:rPr>
        <w:t>., 2003)</w:t>
      </w:r>
      <w:r w:rsidRPr="003015C7">
        <w:t>.</w:t>
      </w:r>
    </w:p>
    <w:p w:rsidR="001548BA" w:rsidRPr="001A23A5" w:rsidRDefault="001548BA" w:rsidP="001548BA">
      <w:pPr>
        <w:autoSpaceDE w:val="0"/>
        <w:autoSpaceDN w:val="0"/>
        <w:adjustRightInd w:val="0"/>
        <w:spacing w:before="120" w:after="120" w:line="360" w:lineRule="auto"/>
        <w:ind w:firstLine="708"/>
        <w:jc w:val="both"/>
        <w:rPr>
          <w:b/>
          <w:bCs/>
        </w:rPr>
      </w:pPr>
      <w:r w:rsidRPr="00D90247">
        <w:rPr>
          <w:b/>
          <w:sz w:val="28"/>
          <w:szCs w:val="28"/>
        </w:rPr>
        <w:t>III</w:t>
      </w:r>
      <w:r w:rsidRPr="001A23A5">
        <w:rPr>
          <w:b/>
        </w:rPr>
        <w:t>.</w:t>
      </w:r>
      <w:r>
        <w:rPr>
          <w:b/>
        </w:rPr>
        <w:t>7</w:t>
      </w:r>
      <w:r w:rsidRPr="001A23A5">
        <w:rPr>
          <w:b/>
        </w:rPr>
        <w:t xml:space="preserve">. </w:t>
      </w:r>
      <w:r w:rsidRPr="001A23A5">
        <w:rPr>
          <w:b/>
          <w:bCs/>
        </w:rPr>
        <w:t>Le mécanisme de résistance des cellules cibles aux bactériocines</w:t>
      </w:r>
    </w:p>
    <w:p w:rsidR="001548BA" w:rsidRPr="003015C7" w:rsidRDefault="001548BA" w:rsidP="001548BA">
      <w:pPr>
        <w:autoSpaceDE w:val="0"/>
        <w:autoSpaceDN w:val="0"/>
        <w:adjustRightInd w:val="0"/>
        <w:spacing w:before="120" w:after="120" w:line="360" w:lineRule="auto"/>
        <w:ind w:firstLine="708"/>
        <w:jc w:val="both"/>
      </w:pPr>
      <w:r w:rsidRPr="003015C7">
        <w:t xml:space="preserve">Etant donné qu’une des utilisations principales des bactériocines est leur application dans l’industrie alimentaire pour prévenir des contaminations par des bactéries pathogènes telles que </w:t>
      </w:r>
      <w:r w:rsidRPr="003015C7">
        <w:rPr>
          <w:i/>
          <w:iCs/>
        </w:rPr>
        <w:t>L. monocytogenes</w:t>
      </w:r>
      <w:r w:rsidRPr="003015C7">
        <w:t>, le développement de souches résistantes peut être un problème.</w:t>
      </w:r>
    </w:p>
    <w:p w:rsidR="001548BA" w:rsidRPr="001A23A5" w:rsidRDefault="001548BA" w:rsidP="001548BA">
      <w:pPr>
        <w:autoSpaceDE w:val="0"/>
        <w:autoSpaceDN w:val="0"/>
        <w:adjustRightInd w:val="0"/>
        <w:spacing w:before="120" w:after="120" w:line="360" w:lineRule="auto"/>
        <w:ind w:firstLine="708"/>
        <w:jc w:val="both"/>
      </w:pPr>
      <w:r w:rsidRPr="00D90247">
        <w:rPr>
          <w:b/>
          <w:sz w:val="28"/>
          <w:szCs w:val="28"/>
        </w:rPr>
        <w:t>III</w:t>
      </w:r>
      <w:r w:rsidRPr="001A23A5">
        <w:rPr>
          <w:b/>
        </w:rPr>
        <w:t>.</w:t>
      </w:r>
      <w:r>
        <w:rPr>
          <w:b/>
        </w:rPr>
        <w:t>7.1</w:t>
      </w:r>
      <w:r w:rsidRPr="001A23A5">
        <w:rPr>
          <w:b/>
        </w:rPr>
        <w:t xml:space="preserve">. </w:t>
      </w:r>
      <w:r w:rsidRPr="001A23A5">
        <w:rPr>
          <w:b/>
          <w:bCs/>
        </w:rPr>
        <w:t>La résistance aux lantibiotiques</w:t>
      </w:r>
    </w:p>
    <w:p w:rsidR="001548BA" w:rsidRPr="003015C7" w:rsidRDefault="001548BA" w:rsidP="001548BA">
      <w:pPr>
        <w:autoSpaceDE w:val="0"/>
        <w:autoSpaceDN w:val="0"/>
        <w:adjustRightInd w:val="0"/>
        <w:spacing w:before="120" w:after="120" w:line="360" w:lineRule="auto"/>
        <w:ind w:firstLine="708"/>
        <w:jc w:val="both"/>
      </w:pPr>
      <w:r w:rsidRPr="003015C7">
        <w:t>Le mécanisme de résistance des lantibiotiques le plus étudié est celui de la résistance à la nisine. La fréquence d’apparition des résistances varie en fonction de la souche cible et des conditions environnementales (pH, concentration en chlorure de sodium et température). L’apparition d’une résistance est souvent associée à une diminution du taux de croissance maximale de la cellule</w:t>
      </w:r>
      <w:r w:rsidRPr="003015C7">
        <w:rPr>
          <w:color w:val="FF0000"/>
        </w:rPr>
        <w:t xml:space="preserve"> </w:t>
      </w:r>
      <w:r w:rsidRPr="003015C7">
        <w:rPr>
          <w:color w:val="0000FF"/>
        </w:rPr>
        <w:t xml:space="preserve">(Gravesen </w:t>
      </w:r>
      <w:r w:rsidRPr="003015C7">
        <w:rPr>
          <w:i/>
          <w:iCs/>
          <w:color w:val="0000FF"/>
        </w:rPr>
        <w:t>et al</w:t>
      </w:r>
      <w:r w:rsidRPr="003015C7">
        <w:rPr>
          <w:color w:val="0000FF"/>
        </w:rPr>
        <w:t>., 2002)</w:t>
      </w:r>
      <w:r w:rsidRPr="003015C7">
        <w:t>.</w:t>
      </w:r>
    </w:p>
    <w:p w:rsidR="001548BA" w:rsidRPr="003015C7" w:rsidRDefault="001548BA" w:rsidP="001548BA">
      <w:pPr>
        <w:autoSpaceDE w:val="0"/>
        <w:autoSpaceDN w:val="0"/>
        <w:adjustRightInd w:val="0"/>
        <w:spacing w:before="120" w:after="120" w:line="360" w:lineRule="auto"/>
        <w:ind w:firstLine="708"/>
        <w:jc w:val="both"/>
        <w:rPr>
          <w:color w:val="FF0000"/>
        </w:rPr>
      </w:pPr>
      <w:r w:rsidRPr="003015C7">
        <w:t xml:space="preserve">Il a été montré que les mutants résistants n’avaient pas de modification au niveau du lipide II </w:t>
      </w:r>
      <w:r w:rsidRPr="003015C7">
        <w:rPr>
          <w:color w:val="0000FF"/>
        </w:rPr>
        <w:t xml:space="preserve">(Kramer </w:t>
      </w:r>
      <w:r w:rsidRPr="003015C7">
        <w:rPr>
          <w:i/>
          <w:iCs/>
          <w:color w:val="0000FF"/>
        </w:rPr>
        <w:t>et al</w:t>
      </w:r>
      <w:r w:rsidRPr="003015C7">
        <w:rPr>
          <w:color w:val="0000FF"/>
        </w:rPr>
        <w:t>., 2006)</w:t>
      </w:r>
      <w:r w:rsidRPr="003015C7">
        <w:t>.</w:t>
      </w:r>
      <w:r w:rsidRPr="003015C7">
        <w:rPr>
          <w:color w:val="FF0000"/>
        </w:rPr>
        <w:t xml:space="preserve"> </w:t>
      </w:r>
    </w:p>
    <w:p w:rsidR="001548BA" w:rsidRPr="003015C7" w:rsidRDefault="001548BA" w:rsidP="001548BA">
      <w:pPr>
        <w:autoSpaceDE w:val="0"/>
        <w:autoSpaceDN w:val="0"/>
        <w:adjustRightInd w:val="0"/>
        <w:spacing w:line="360" w:lineRule="auto"/>
        <w:ind w:firstLine="708"/>
        <w:jc w:val="both"/>
        <w:rPr>
          <w:color w:val="0000FF"/>
        </w:rPr>
      </w:pPr>
      <w:r w:rsidRPr="003015C7">
        <w:t xml:space="preserve">La résistance à la nisine a été attribuée à une différence de la composition en acide gras dans la membrane et à des modifications au niveau de la paroi cellulaire </w:t>
      </w:r>
      <w:r w:rsidRPr="003015C7">
        <w:rPr>
          <w:color w:val="0000FF"/>
        </w:rPr>
        <w:t xml:space="preserve">(Kramer </w:t>
      </w:r>
      <w:r w:rsidRPr="003015C7">
        <w:rPr>
          <w:i/>
          <w:iCs/>
          <w:color w:val="0000FF"/>
        </w:rPr>
        <w:t>et al</w:t>
      </w:r>
      <w:r w:rsidRPr="003015C7">
        <w:rPr>
          <w:color w:val="0000FF"/>
        </w:rPr>
        <w:t xml:space="preserve">., 2006 ; Naghmouchi </w:t>
      </w:r>
      <w:r w:rsidRPr="003015C7">
        <w:rPr>
          <w:i/>
          <w:iCs/>
          <w:color w:val="0000FF"/>
        </w:rPr>
        <w:t>et al</w:t>
      </w:r>
      <w:r w:rsidRPr="003015C7">
        <w:rPr>
          <w:color w:val="0000FF"/>
        </w:rPr>
        <w:t>., 2007)</w:t>
      </w:r>
      <w:r w:rsidRPr="003015C7">
        <w:t xml:space="preserve">. </w:t>
      </w:r>
    </w:p>
    <w:p w:rsidR="001548BA" w:rsidRPr="003015C7" w:rsidRDefault="001548BA" w:rsidP="001548BA">
      <w:pPr>
        <w:autoSpaceDE w:val="0"/>
        <w:autoSpaceDN w:val="0"/>
        <w:adjustRightInd w:val="0"/>
        <w:spacing w:line="360" w:lineRule="auto"/>
        <w:jc w:val="both"/>
      </w:pPr>
      <w:r w:rsidRPr="003015C7">
        <w:t xml:space="preserve">           </w:t>
      </w:r>
      <w:r w:rsidRPr="001A23A5">
        <w:t xml:space="preserve">Récemment, </w:t>
      </w:r>
      <w:r w:rsidRPr="003015C7">
        <w:rPr>
          <w:color w:val="0000FF"/>
        </w:rPr>
        <w:t xml:space="preserve">Kramer </w:t>
      </w:r>
      <w:r w:rsidRPr="003015C7">
        <w:rPr>
          <w:i/>
          <w:iCs/>
          <w:color w:val="0000FF"/>
        </w:rPr>
        <w:t>et al</w:t>
      </w:r>
      <w:r w:rsidRPr="003015C7">
        <w:rPr>
          <w:color w:val="0000FF"/>
        </w:rPr>
        <w:t>. (2006)</w:t>
      </w:r>
      <w:r w:rsidRPr="003015C7">
        <w:t xml:space="preserve"> ont montré que des souches de </w:t>
      </w:r>
      <w:r w:rsidRPr="001A23A5">
        <w:rPr>
          <w:i/>
          <w:iCs/>
        </w:rPr>
        <w:t>Lactococcus lactis</w:t>
      </w:r>
      <w:r>
        <w:t>,</w:t>
      </w:r>
      <w:r w:rsidRPr="003015C7">
        <w:t xml:space="preserve"> résistantes à la nisine exprimaient différemment 93 gènes par rapport à la souche sauvage non résistante, 62 étant plus exprimés et 31 étant sous exprimés. Cette étude a permis de montrer que le mécanisme principal de résistance semblait être d’empêcher la bactériocine d’atteindre le lipide II par différents modes</w:t>
      </w:r>
      <w:r>
        <w:t> et qui sont les suivants :</w:t>
      </w:r>
    </w:p>
    <w:p w:rsidR="001548BA" w:rsidRPr="003015C7" w:rsidRDefault="001548BA" w:rsidP="001548BA">
      <w:pPr>
        <w:pStyle w:val="Paragraphedeliste"/>
        <w:numPr>
          <w:ilvl w:val="0"/>
          <w:numId w:val="27"/>
        </w:numPr>
        <w:autoSpaceDE w:val="0"/>
        <w:autoSpaceDN w:val="0"/>
        <w:adjustRightInd w:val="0"/>
        <w:spacing w:before="120" w:after="120" w:line="360" w:lineRule="auto"/>
        <w:jc w:val="both"/>
      </w:pPr>
      <w:r w:rsidRPr="003015C7">
        <w:lastRenderedPageBreak/>
        <w:t>Changer la paroi cellulaire en l’épaississant, la faisant plus dense ou en changeant sa charge</w:t>
      </w:r>
      <w:r>
        <w:t>.</w:t>
      </w:r>
    </w:p>
    <w:p w:rsidR="001548BA" w:rsidRPr="003015C7" w:rsidRDefault="001548BA" w:rsidP="001548BA">
      <w:pPr>
        <w:pStyle w:val="Paragraphedeliste"/>
        <w:numPr>
          <w:ilvl w:val="0"/>
          <w:numId w:val="27"/>
        </w:numPr>
        <w:autoSpaceDE w:val="0"/>
        <w:autoSpaceDN w:val="0"/>
        <w:adjustRightInd w:val="0"/>
        <w:spacing w:before="120" w:after="120" w:line="360" w:lineRule="auto"/>
        <w:jc w:val="both"/>
      </w:pPr>
      <w:r w:rsidRPr="003015C7">
        <w:t>Elever le pH local à l’extérieur de la membrane cytoplasmique</w:t>
      </w:r>
      <w:r>
        <w:t>.</w:t>
      </w:r>
    </w:p>
    <w:p w:rsidR="001548BA" w:rsidRPr="003015C7" w:rsidRDefault="001548BA" w:rsidP="001548BA">
      <w:pPr>
        <w:pStyle w:val="Paragraphedeliste"/>
        <w:numPr>
          <w:ilvl w:val="0"/>
          <w:numId w:val="27"/>
        </w:numPr>
        <w:autoSpaceDE w:val="0"/>
        <w:autoSpaceDN w:val="0"/>
        <w:adjustRightInd w:val="0"/>
        <w:spacing w:before="120" w:after="120" w:line="360" w:lineRule="auto"/>
        <w:jc w:val="both"/>
      </w:pPr>
      <w:r w:rsidRPr="003015C7">
        <w:t>Changer l’expression de l’opéron fab qui est impliqué dans l’élongation et la saturation des phospholipides, ce qui augmente la fluidité de la membrane et empêche la nisine de former des pores</w:t>
      </w:r>
      <w:r>
        <w:t>.</w:t>
      </w:r>
    </w:p>
    <w:p w:rsidR="001548BA" w:rsidRPr="003015C7" w:rsidRDefault="001548BA" w:rsidP="001548BA">
      <w:pPr>
        <w:pStyle w:val="Paragraphedeliste"/>
        <w:numPr>
          <w:ilvl w:val="0"/>
          <w:numId w:val="27"/>
        </w:numPr>
        <w:autoSpaceDE w:val="0"/>
        <w:autoSpaceDN w:val="0"/>
        <w:adjustRightInd w:val="0"/>
        <w:spacing w:before="120" w:after="120" w:line="360" w:lineRule="auto"/>
        <w:jc w:val="both"/>
      </w:pPr>
      <w:r w:rsidRPr="003015C7">
        <w:t>Changer les ABC transporteurs présents. Ils peuvent être impliqués dans l’excrétion de la nisine hors de la membrane cytoplasmique, l’empêchant d’atteindre le lipide II.</w:t>
      </w:r>
    </w:p>
    <w:p w:rsidR="001548BA" w:rsidRPr="003015C7" w:rsidRDefault="001548BA" w:rsidP="001548BA">
      <w:pPr>
        <w:autoSpaceDE w:val="0"/>
        <w:autoSpaceDN w:val="0"/>
        <w:adjustRightInd w:val="0"/>
        <w:spacing w:before="120" w:after="120" w:line="360" w:lineRule="auto"/>
        <w:jc w:val="both"/>
        <w:rPr>
          <w:color w:val="FF0000"/>
        </w:rPr>
      </w:pPr>
      <w:r w:rsidRPr="003015C7">
        <w:t xml:space="preserve">            D’autre part, il a été montré que l’adsorption de la lacticin 3147 sur la membrane des cellules cibles était diminuée chez les mutants résistants </w:t>
      </w:r>
      <w:r w:rsidRPr="00BC253D">
        <w:rPr>
          <w:color w:val="0000FF"/>
        </w:rPr>
        <w:t>(</w:t>
      </w:r>
      <w:r w:rsidRPr="003015C7">
        <w:rPr>
          <w:color w:val="0000FF"/>
        </w:rPr>
        <w:t xml:space="preserve">Guinane </w:t>
      </w:r>
      <w:r w:rsidRPr="003015C7">
        <w:rPr>
          <w:i/>
          <w:iCs/>
          <w:color w:val="0000FF"/>
        </w:rPr>
        <w:t>et al</w:t>
      </w:r>
      <w:r w:rsidRPr="003015C7">
        <w:rPr>
          <w:color w:val="0000FF"/>
        </w:rPr>
        <w:t>., 2007)</w:t>
      </w:r>
      <w:r w:rsidRPr="003015C7">
        <w:t>.</w:t>
      </w:r>
    </w:p>
    <w:p w:rsidR="001548BA" w:rsidRPr="003015C7" w:rsidRDefault="001548BA" w:rsidP="001548BA">
      <w:pPr>
        <w:autoSpaceDE w:val="0"/>
        <w:autoSpaceDN w:val="0"/>
        <w:adjustRightInd w:val="0"/>
        <w:spacing w:before="120" w:after="120" w:line="360" w:lineRule="auto"/>
        <w:jc w:val="both"/>
      </w:pPr>
      <w:r w:rsidRPr="003015C7">
        <w:t xml:space="preserve">           L’apparition d’une résistance contre un lantibiotique peut induire une résistance contre un autre. Par exemple, l’apparition d’une résistance contre la lacticin 3147 induit une résistance à la nisine </w:t>
      </w:r>
      <w:r w:rsidRPr="003015C7">
        <w:rPr>
          <w:color w:val="0000FF"/>
        </w:rPr>
        <w:t xml:space="preserve">(Guinane </w:t>
      </w:r>
      <w:r w:rsidRPr="003015C7">
        <w:rPr>
          <w:i/>
          <w:iCs/>
          <w:color w:val="0000FF"/>
        </w:rPr>
        <w:t>et al</w:t>
      </w:r>
      <w:r w:rsidRPr="003015C7">
        <w:rPr>
          <w:color w:val="0000FF"/>
        </w:rPr>
        <w:t>., 2007)</w:t>
      </w:r>
      <w:r w:rsidRPr="003015C7">
        <w:t>.</w:t>
      </w:r>
    </w:p>
    <w:p w:rsidR="001548BA" w:rsidRPr="00BC253D" w:rsidRDefault="001548BA" w:rsidP="001548BA">
      <w:pPr>
        <w:autoSpaceDE w:val="0"/>
        <w:autoSpaceDN w:val="0"/>
        <w:adjustRightInd w:val="0"/>
        <w:spacing w:before="120" w:after="120" w:line="360" w:lineRule="auto"/>
        <w:ind w:firstLine="708"/>
        <w:jc w:val="both"/>
      </w:pPr>
      <w:r w:rsidRPr="00D90247">
        <w:rPr>
          <w:b/>
          <w:sz w:val="28"/>
          <w:szCs w:val="28"/>
        </w:rPr>
        <w:t>III</w:t>
      </w:r>
      <w:r w:rsidRPr="00BC253D">
        <w:rPr>
          <w:b/>
        </w:rPr>
        <w:t xml:space="preserve">.7.1. </w:t>
      </w:r>
      <w:r w:rsidRPr="00BC253D">
        <w:rPr>
          <w:b/>
          <w:bCs/>
        </w:rPr>
        <w:t>La résistance aux bactériocines de classe IIa</w:t>
      </w:r>
    </w:p>
    <w:p w:rsidR="001548BA" w:rsidRPr="003015C7" w:rsidRDefault="001548BA" w:rsidP="001548BA">
      <w:pPr>
        <w:autoSpaceDE w:val="0"/>
        <w:autoSpaceDN w:val="0"/>
        <w:adjustRightInd w:val="0"/>
        <w:spacing w:before="120" w:after="120" w:line="360" w:lineRule="auto"/>
        <w:jc w:val="both"/>
        <w:rPr>
          <w:color w:val="0000FF"/>
        </w:rPr>
      </w:pPr>
      <w:r w:rsidRPr="003015C7">
        <w:t xml:space="preserve">            Les résistances aux bactériocines de classe IIa sont souvent très élevées </w:t>
      </w:r>
      <w:r w:rsidRPr="003015C7">
        <w:rPr>
          <w:color w:val="0000FF"/>
        </w:rPr>
        <w:t xml:space="preserve">(Gravesen </w:t>
      </w:r>
      <w:r w:rsidRPr="003015C7">
        <w:rPr>
          <w:i/>
          <w:iCs/>
          <w:color w:val="0000FF"/>
        </w:rPr>
        <w:t>et al</w:t>
      </w:r>
      <w:r w:rsidRPr="003015C7">
        <w:rPr>
          <w:color w:val="0000FF"/>
        </w:rPr>
        <w:t>., 2002)</w:t>
      </w:r>
      <w:r w:rsidRPr="003015C7">
        <w:t xml:space="preserve">. Les mutations spontanées apparaissent après exposition à la bactériocine. </w:t>
      </w:r>
      <w:r w:rsidRPr="00CC4071">
        <w:rPr>
          <w:i/>
          <w:iCs/>
        </w:rPr>
        <w:t xml:space="preserve">L. monocytogenes  </w:t>
      </w:r>
      <w:r w:rsidRPr="003015C7">
        <w:t xml:space="preserve">développe des résistances aux bactériocines de classe IIa à la fréquence de 10-3 à 10-6 </w:t>
      </w:r>
      <w:r w:rsidRPr="003015C7">
        <w:rPr>
          <w:color w:val="0000FF"/>
        </w:rPr>
        <w:t xml:space="preserve">(Gravesen </w:t>
      </w:r>
      <w:r w:rsidRPr="003015C7">
        <w:rPr>
          <w:i/>
          <w:iCs/>
          <w:color w:val="0000FF"/>
        </w:rPr>
        <w:t>et al</w:t>
      </w:r>
      <w:r w:rsidRPr="003015C7">
        <w:rPr>
          <w:color w:val="0000FF"/>
        </w:rPr>
        <w:t>., 2002)</w:t>
      </w:r>
      <w:r w:rsidRPr="003015C7">
        <w:t>.</w:t>
      </w:r>
    </w:p>
    <w:p w:rsidR="001548BA" w:rsidRPr="003015C7" w:rsidRDefault="001548BA" w:rsidP="001548BA">
      <w:pPr>
        <w:autoSpaceDE w:val="0"/>
        <w:autoSpaceDN w:val="0"/>
        <w:adjustRightInd w:val="0"/>
        <w:spacing w:before="120" w:after="120" w:line="360" w:lineRule="auto"/>
        <w:jc w:val="both"/>
        <w:rPr>
          <w:color w:val="FF0000"/>
        </w:rPr>
      </w:pPr>
      <w:r w:rsidRPr="003015C7">
        <w:t xml:space="preserve">             Cette fréquence d’apparition des résistances varie en fonction de la souche, de la bactériocine et de facteurs environnementaux tels que le pH, la concentration en chlorure de sodium et la température </w:t>
      </w:r>
      <w:r w:rsidRPr="003015C7">
        <w:rPr>
          <w:color w:val="0000FF"/>
        </w:rPr>
        <w:t xml:space="preserve">(Gravesen </w:t>
      </w:r>
      <w:r w:rsidRPr="003015C7">
        <w:rPr>
          <w:i/>
          <w:iCs/>
          <w:color w:val="0000FF"/>
        </w:rPr>
        <w:t>et al</w:t>
      </w:r>
      <w:r w:rsidRPr="003015C7">
        <w:rPr>
          <w:color w:val="0000FF"/>
        </w:rPr>
        <w:t>., 2002)</w:t>
      </w:r>
      <w:r w:rsidRPr="003015C7">
        <w:t>.</w:t>
      </w:r>
    </w:p>
    <w:p w:rsidR="001548BA" w:rsidRPr="003015C7" w:rsidRDefault="001548BA" w:rsidP="001548BA">
      <w:pPr>
        <w:autoSpaceDE w:val="0"/>
        <w:autoSpaceDN w:val="0"/>
        <w:adjustRightInd w:val="0"/>
        <w:spacing w:before="120" w:after="120" w:line="360" w:lineRule="auto"/>
        <w:jc w:val="both"/>
      </w:pPr>
      <w:r w:rsidRPr="003015C7">
        <w:t>Différents mécanismes sont à l’origine de cette résistance :</w:t>
      </w:r>
    </w:p>
    <w:p w:rsidR="001548BA" w:rsidRPr="003015C7" w:rsidRDefault="001548BA" w:rsidP="001548BA">
      <w:pPr>
        <w:pStyle w:val="Paragraphedeliste"/>
        <w:numPr>
          <w:ilvl w:val="0"/>
          <w:numId w:val="28"/>
        </w:numPr>
        <w:autoSpaceDE w:val="0"/>
        <w:autoSpaceDN w:val="0"/>
        <w:adjustRightInd w:val="0"/>
        <w:spacing w:before="120" w:after="120" w:line="360" w:lineRule="auto"/>
        <w:jc w:val="both"/>
      </w:pPr>
      <w:r w:rsidRPr="003015C7">
        <w:t xml:space="preserve">L’augmentation du pourcentage d’acides gras insaturés dans la membrane et du nombre de chaînes courtes. Ces modifications augmentent la fluidité de la membrane en diminuant les potentialités d’insertion de la bactériocine et la formation des pores </w:t>
      </w:r>
      <w:r w:rsidRPr="00802226">
        <w:rPr>
          <w:color w:val="0000FF"/>
        </w:rPr>
        <w:t xml:space="preserve">(Vadyvaloo </w:t>
      </w:r>
      <w:r w:rsidRPr="00802226">
        <w:rPr>
          <w:i/>
          <w:iCs/>
          <w:color w:val="0000FF"/>
        </w:rPr>
        <w:t>et al</w:t>
      </w:r>
      <w:r w:rsidRPr="00802226">
        <w:rPr>
          <w:color w:val="0000FF"/>
        </w:rPr>
        <w:t>.. 2002)</w:t>
      </w:r>
      <w:r w:rsidRPr="00802226">
        <w:t>.</w:t>
      </w:r>
    </w:p>
    <w:p w:rsidR="001548BA" w:rsidRPr="00C4390D" w:rsidRDefault="001548BA" w:rsidP="001548BA">
      <w:pPr>
        <w:pStyle w:val="Paragraphedeliste"/>
        <w:numPr>
          <w:ilvl w:val="0"/>
          <w:numId w:val="28"/>
        </w:numPr>
        <w:autoSpaceDE w:val="0"/>
        <w:autoSpaceDN w:val="0"/>
        <w:adjustRightInd w:val="0"/>
        <w:spacing w:line="360" w:lineRule="auto"/>
        <w:jc w:val="both"/>
      </w:pPr>
      <w:r w:rsidRPr="003015C7">
        <w:t xml:space="preserve">L’absence de la mannose phosphoenolpyruvate-dependent phosphotransférase (PSTS), la  molécule transmembranaire réceptrice de la bactériocine </w:t>
      </w:r>
      <w:r w:rsidRPr="00BC253D">
        <w:rPr>
          <w:color w:val="0000FF"/>
        </w:rPr>
        <w:t xml:space="preserve">(Vadyvaloo </w:t>
      </w:r>
      <w:r w:rsidRPr="00802226">
        <w:rPr>
          <w:i/>
          <w:iCs/>
          <w:color w:val="0000FF"/>
        </w:rPr>
        <w:t>et al</w:t>
      </w:r>
      <w:r w:rsidRPr="00BC253D">
        <w:rPr>
          <w:color w:val="0000FF"/>
        </w:rPr>
        <w:t>., 2004)</w:t>
      </w:r>
      <w:r w:rsidRPr="003015C7">
        <w:t>.</w:t>
      </w:r>
      <w:r w:rsidRPr="00BC253D">
        <w:rPr>
          <w:color w:val="0000FF"/>
        </w:rPr>
        <w:t xml:space="preserve"> </w:t>
      </w:r>
    </w:p>
    <w:p w:rsidR="001548BA" w:rsidRPr="003015C7" w:rsidRDefault="001548BA" w:rsidP="001548BA">
      <w:pPr>
        <w:autoSpaceDE w:val="0"/>
        <w:autoSpaceDN w:val="0"/>
        <w:adjustRightInd w:val="0"/>
        <w:spacing w:line="360" w:lineRule="auto"/>
        <w:ind w:left="360"/>
        <w:jc w:val="both"/>
      </w:pPr>
    </w:p>
    <w:p w:rsidR="001548BA" w:rsidRDefault="001548BA" w:rsidP="001548BA">
      <w:pPr>
        <w:autoSpaceDE w:val="0"/>
        <w:autoSpaceDN w:val="0"/>
        <w:adjustRightInd w:val="0"/>
        <w:spacing w:before="120" w:after="120" w:line="360" w:lineRule="auto"/>
        <w:ind w:firstLine="708"/>
        <w:jc w:val="both"/>
      </w:pPr>
      <w:r w:rsidRPr="003015C7">
        <w:lastRenderedPageBreak/>
        <w:t xml:space="preserve">Il a été montré que, chez </w:t>
      </w:r>
      <w:r w:rsidRPr="00BC253D">
        <w:rPr>
          <w:i/>
          <w:iCs/>
        </w:rPr>
        <w:t>L. monocytogenes</w:t>
      </w:r>
      <w:r w:rsidRPr="003015C7">
        <w:t xml:space="preserve">, l’inactivation du gène rpoN et de l’opéron mpt codant pour la mannose perméase induit la résistance de </w:t>
      </w:r>
      <w:r>
        <w:t xml:space="preserve">                          </w:t>
      </w:r>
      <w:r w:rsidRPr="00BC253D">
        <w:rPr>
          <w:i/>
          <w:iCs/>
        </w:rPr>
        <w:t>L. monocytogenes</w:t>
      </w:r>
      <w:r w:rsidRPr="003015C7">
        <w:t xml:space="preserve">. </w:t>
      </w:r>
    </w:p>
    <w:p w:rsidR="001548BA" w:rsidRDefault="001548BA" w:rsidP="001548BA">
      <w:pPr>
        <w:autoSpaceDE w:val="0"/>
        <w:autoSpaceDN w:val="0"/>
        <w:adjustRightInd w:val="0"/>
        <w:spacing w:before="120" w:after="120" w:line="360" w:lineRule="auto"/>
        <w:ind w:firstLine="708"/>
        <w:jc w:val="both"/>
      </w:pPr>
      <w:r w:rsidRPr="003015C7">
        <w:t xml:space="preserve">La mannose perméase est une protéine transmembranaire qui assure le transport du sucre (mannose, glucose et 2-deoxyglucose chez </w:t>
      </w:r>
      <w:r w:rsidRPr="00BC253D">
        <w:rPr>
          <w:i/>
          <w:iCs/>
        </w:rPr>
        <w:t>L. monocytogenes</w:t>
      </w:r>
      <w:r w:rsidRPr="003015C7">
        <w:t xml:space="preserve">) et sa phosphorylation de part et d’autre de la membrane cellulaire Chez </w:t>
      </w:r>
      <w:r w:rsidRPr="003015C7">
        <w:rPr>
          <w:i/>
          <w:iCs/>
        </w:rPr>
        <w:t>L. monocytogenes</w:t>
      </w:r>
      <w:r w:rsidRPr="003015C7">
        <w:t>, cette molécule contient trois</w:t>
      </w:r>
      <w:r>
        <w:t xml:space="preserve"> </w:t>
      </w:r>
      <w:r w:rsidRPr="003015C7">
        <w:t xml:space="preserve">sous-unités. </w:t>
      </w:r>
    </w:p>
    <w:p w:rsidR="001548BA" w:rsidRDefault="001548BA" w:rsidP="001548BA">
      <w:pPr>
        <w:autoSpaceDE w:val="0"/>
        <w:autoSpaceDN w:val="0"/>
        <w:adjustRightInd w:val="0"/>
        <w:spacing w:before="120" w:after="120" w:line="360" w:lineRule="auto"/>
        <w:ind w:firstLine="708"/>
        <w:jc w:val="both"/>
        <w:rPr>
          <w:color w:val="FF0000"/>
        </w:rPr>
      </w:pPr>
      <w:r w:rsidRPr="003015C7">
        <w:t xml:space="preserve">Le gène </w:t>
      </w:r>
      <w:r w:rsidRPr="003015C7">
        <w:rPr>
          <w:i/>
          <w:iCs/>
        </w:rPr>
        <w:t>rpo</w:t>
      </w:r>
      <w:r w:rsidRPr="003015C7">
        <w:t xml:space="preserve">N code pour la sous-unité </w:t>
      </w:r>
      <w:r w:rsidRPr="003015C7">
        <w:rPr>
          <w:rFonts w:eastAsia="TimesNewRoman"/>
        </w:rPr>
        <w:t>σ</w:t>
      </w:r>
      <w:r w:rsidRPr="003015C7">
        <w:t xml:space="preserve">54 de la RNA polymérase bactérienne qui dirige l’activation de la transcription de l’opéron </w:t>
      </w:r>
      <w:r w:rsidRPr="003015C7">
        <w:rPr>
          <w:i/>
          <w:iCs/>
        </w:rPr>
        <w:t>mpt</w:t>
      </w:r>
      <w:r w:rsidRPr="003015C7">
        <w:t xml:space="preserve">. Dans les mutants résistants, une diminution de l’expression du gène codant pour la mannose perméase et une augmentation de l’expression du gène codant pour la phosphotransférase spécifique des </w:t>
      </w:r>
      <w:r w:rsidRPr="003015C7">
        <w:rPr>
          <w:rFonts w:eastAsia="TimesNewRoman"/>
        </w:rPr>
        <w:t>β</w:t>
      </w:r>
      <w:r w:rsidRPr="003015C7">
        <w:t xml:space="preserve">-glucosides ont été remarquées </w:t>
      </w:r>
      <w:r w:rsidRPr="003015C7">
        <w:rPr>
          <w:color w:val="0000FF"/>
        </w:rPr>
        <w:t xml:space="preserve">(Gravesen </w:t>
      </w:r>
      <w:r w:rsidRPr="003015C7">
        <w:rPr>
          <w:i/>
          <w:iCs/>
          <w:color w:val="0000FF"/>
        </w:rPr>
        <w:t>et al.</w:t>
      </w:r>
      <w:r w:rsidRPr="003015C7">
        <w:rPr>
          <w:color w:val="0000FF"/>
        </w:rPr>
        <w:t xml:space="preserve">, 2002 ; Gravesen </w:t>
      </w:r>
      <w:r w:rsidRPr="003015C7">
        <w:rPr>
          <w:i/>
          <w:iCs/>
          <w:color w:val="0000FF"/>
        </w:rPr>
        <w:t>et al.</w:t>
      </w:r>
      <w:r w:rsidRPr="003015C7">
        <w:rPr>
          <w:color w:val="0000FF"/>
        </w:rPr>
        <w:t xml:space="preserve">, 2004; Vadyvaloo </w:t>
      </w:r>
      <w:r w:rsidRPr="003015C7">
        <w:rPr>
          <w:i/>
          <w:iCs/>
          <w:color w:val="0000FF"/>
        </w:rPr>
        <w:t>et al.</w:t>
      </w:r>
      <w:r w:rsidRPr="003015C7">
        <w:rPr>
          <w:color w:val="0000FF"/>
        </w:rPr>
        <w:t>, 2004)</w:t>
      </w:r>
      <w:r w:rsidRPr="003015C7">
        <w:t>.</w:t>
      </w:r>
      <w:r w:rsidRPr="003015C7">
        <w:rPr>
          <w:color w:val="FF0000"/>
        </w:rPr>
        <w:t xml:space="preserve"> </w:t>
      </w:r>
    </w:p>
    <w:p w:rsidR="001548BA" w:rsidRPr="003015C7" w:rsidRDefault="001548BA" w:rsidP="001548BA">
      <w:pPr>
        <w:autoSpaceDE w:val="0"/>
        <w:autoSpaceDN w:val="0"/>
        <w:adjustRightInd w:val="0"/>
        <w:spacing w:before="120" w:after="120" w:line="360" w:lineRule="auto"/>
        <w:ind w:firstLine="708"/>
        <w:jc w:val="both"/>
        <w:rPr>
          <w:color w:val="FF0000"/>
        </w:rPr>
      </w:pPr>
      <w:r w:rsidRPr="003015C7">
        <w:t xml:space="preserve">Par ailleurs, il a été montré que des mutants résistants avaient un taux de croissance maximal réduit </w:t>
      </w:r>
      <w:r w:rsidRPr="003015C7">
        <w:rPr>
          <w:color w:val="0000FF"/>
        </w:rPr>
        <w:t xml:space="preserve">(Gravesen </w:t>
      </w:r>
      <w:r w:rsidRPr="003015C7">
        <w:rPr>
          <w:i/>
          <w:iCs/>
          <w:color w:val="0000FF"/>
        </w:rPr>
        <w:t>et al</w:t>
      </w:r>
      <w:r w:rsidRPr="003015C7">
        <w:rPr>
          <w:color w:val="0000FF"/>
        </w:rPr>
        <w:t>., 2002)</w:t>
      </w:r>
      <w:r w:rsidRPr="003015C7">
        <w:t xml:space="preserve">. Cette réduction peut être attribuée à la diminution de la capacité à transporter des nutriments, comme le glucose, de part et d’autres de la membrane cellulaire </w:t>
      </w:r>
      <w:r w:rsidRPr="003015C7">
        <w:rPr>
          <w:color w:val="0000FF"/>
        </w:rPr>
        <w:t xml:space="preserve">(Naghmouchi </w:t>
      </w:r>
      <w:r w:rsidRPr="003015C7">
        <w:rPr>
          <w:i/>
          <w:iCs/>
          <w:color w:val="0000FF"/>
        </w:rPr>
        <w:t>et al.</w:t>
      </w:r>
      <w:r w:rsidRPr="003015C7">
        <w:rPr>
          <w:color w:val="0000FF"/>
        </w:rPr>
        <w:t>, 2007).</w:t>
      </w:r>
    </w:p>
    <w:p w:rsidR="001548BA" w:rsidRPr="004C180B" w:rsidRDefault="001548BA" w:rsidP="001548BA">
      <w:pPr>
        <w:autoSpaceDE w:val="0"/>
        <w:autoSpaceDN w:val="0"/>
        <w:adjustRightInd w:val="0"/>
        <w:spacing w:before="120" w:after="120" w:line="360" w:lineRule="auto"/>
        <w:ind w:firstLine="708"/>
        <w:jc w:val="both"/>
        <w:rPr>
          <w:b/>
          <w:bCs/>
        </w:rPr>
      </w:pPr>
      <w:r w:rsidRPr="00D90247">
        <w:rPr>
          <w:b/>
          <w:sz w:val="28"/>
          <w:szCs w:val="28"/>
        </w:rPr>
        <w:t>III</w:t>
      </w:r>
      <w:r w:rsidRPr="001A23A5">
        <w:rPr>
          <w:b/>
        </w:rPr>
        <w:t>.</w:t>
      </w:r>
      <w:r>
        <w:rPr>
          <w:b/>
        </w:rPr>
        <w:t>7.2</w:t>
      </w:r>
      <w:r w:rsidRPr="001A23A5">
        <w:rPr>
          <w:b/>
        </w:rPr>
        <w:t xml:space="preserve">. </w:t>
      </w:r>
      <w:r w:rsidRPr="004C180B">
        <w:rPr>
          <w:b/>
          <w:bCs/>
        </w:rPr>
        <w:t>Les cross-résistances</w:t>
      </w:r>
    </w:p>
    <w:p w:rsidR="001548BA" w:rsidRDefault="001548BA" w:rsidP="001548BA">
      <w:pPr>
        <w:autoSpaceDE w:val="0"/>
        <w:autoSpaceDN w:val="0"/>
        <w:adjustRightInd w:val="0"/>
        <w:spacing w:before="120" w:after="120" w:line="360" w:lineRule="auto"/>
        <w:ind w:firstLine="708"/>
        <w:jc w:val="both"/>
      </w:pPr>
      <w:r w:rsidRPr="003015C7">
        <w:t xml:space="preserve">Les mécanismes de résistances aux lantibiotiques et aux bactériocines de la classe IIa ne sont pas les mêmes. Cependant, la résistance aux lantibiotiques peut parfois entraîner une résistance aux bactériocines de classe IIa ou inversement. </w:t>
      </w:r>
    </w:p>
    <w:p w:rsidR="001548BA" w:rsidRDefault="001548BA" w:rsidP="001548BA">
      <w:pPr>
        <w:autoSpaceDE w:val="0"/>
        <w:autoSpaceDN w:val="0"/>
        <w:adjustRightInd w:val="0"/>
        <w:spacing w:before="120" w:after="120" w:line="360" w:lineRule="auto"/>
        <w:ind w:firstLine="708"/>
        <w:jc w:val="both"/>
      </w:pPr>
      <w:r w:rsidRPr="003015C7">
        <w:t>Par exemple</w:t>
      </w:r>
      <w:r w:rsidRPr="00802226">
        <w:t>,</w:t>
      </w:r>
      <w:r w:rsidRPr="003015C7">
        <w:rPr>
          <w:color w:val="0000FF"/>
        </w:rPr>
        <w:t xml:space="preserve"> Naghmouchi </w:t>
      </w:r>
      <w:r w:rsidRPr="003015C7">
        <w:rPr>
          <w:i/>
          <w:iCs/>
          <w:color w:val="0000FF"/>
        </w:rPr>
        <w:t xml:space="preserve">et al. </w:t>
      </w:r>
      <w:r w:rsidRPr="003015C7">
        <w:rPr>
          <w:color w:val="0000FF"/>
        </w:rPr>
        <w:t>(2007)</w:t>
      </w:r>
      <w:r w:rsidRPr="003015C7">
        <w:t xml:space="preserve">, ont montré que la résistance de </w:t>
      </w:r>
      <w:r>
        <w:t xml:space="preserve">           </w:t>
      </w:r>
      <w:r w:rsidRPr="00CC4071">
        <w:rPr>
          <w:i/>
          <w:iCs/>
        </w:rPr>
        <w:t xml:space="preserve">L. monocytogenes  </w:t>
      </w:r>
      <w:r w:rsidRPr="003015C7">
        <w:t>acquise à la nisine A ou Z augmente la résistance à la pediocin PA-1 et à la divergicin M35, deux bactériocines de classe</w:t>
      </w:r>
      <w:r>
        <w:t xml:space="preserve"> </w:t>
      </w:r>
      <w:r w:rsidRPr="003015C7">
        <w:t xml:space="preserve">IIa. </w:t>
      </w:r>
    </w:p>
    <w:p w:rsidR="001548BA" w:rsidRPr="003015C7" w:rsidRDefault="001548BA" w:rsidP="001548BA">
      <w:pPr>
        <w:autoSpaceDE w:val="0"/>
        <w:autoSpaceDN w:val="0"/>
        <w:adjustRightInd w:val="0"/>
        <w:spacing w:before="120" w:after="120" w:line="360" w:lineRule="auto"/>
        <w:ind w:firstLine="708"/>
        <w:jc w:val="both"/>
      </w:pPr>
      <w:r w:rsidRPr="003015C7">
        <w:t>D’autre part, les mutants résistant à la divergicin M35 montrent une résistance accrue à la nisine Z</w:t>
      </w:r>
      <w:r>
        <w:t>,</w:t>
      </w:r>
      <w:r w:rsidRPr="003015C7">
        <w:t xml:space="preserve"> mais réduite à la nisine A. Les mutants résistants à la pediocin </w:t>
      </w:r>
      <w:r>
        <w:t xml:space="preserve">   </w:t>
      </w:r>
      <w:r w:rsidRPr="003015C7">
        <w:t>PA-1, quand à eux, ont une résistance plus élevée à la nisine Z et la divergicin</w:t>
      </w:r>
      <w:r>
        <w:t>,</w:t>
      </w:r>
      <w:r w:rsidRPr="003015C7">
        <w:t xml:space="preserve"> mais diminuée à la nisine A.</w:t>
      </w:r>
    </w:p>
    <w:p w:rsidR="001548BA" w:rsidRPr="004C180B" w:rsidRDefault="001548BA" w:rsidP="001548BA">
      <w:pPr>
        <w:autoSpaceDE w:val="0"/>
        <w:autoSpaceDN w:val="0"/>
        <w:adjustRightInd w:val="0"/>
        <w:spacing w:before="120" w:after="120" w:line="360" w:lineRule="auto"/>
        <w:ind w:firstLine="708"/>
        <w:jc w:val="both"/>
        <w:rPr>
          <w:b/>
          <w:bCs/>
        </w:rPr>
      </w:pPr>
      <w:r w:rsidRPr="00D90247">
        <w:rPr>
          <w:b/>
          <w:sz w:val="28"/>
          <w:szCs w:val="28"/>
        </w:rPr>
        <w:t>III</w:t>
      </w:r>
      <w:r w:rsidRPr="001A23A5">
        <w:rPr>
          <w:b/>
        </w:rPr>
        <w:t>.</w:t>
      </w:r>
      <w:r>
        <w:rPr>
          <w:b/>
        </w:rPr>
        <w:t xml:space="preserve">7. </w:t>
      </w:r>
      <w:r w:rsidRPr="004C180B">
        <w:rPr>
          <w:b/>
          <w:bCs/>
        </w:rPr>
        <w:t>Les facteurs influençant sur la production des bactériocines</w:t>
      </w:r>
    </w:p>
    <w:p w:rsidR="001548BA" w:rsidRPr="003015C7" w:rsidRDefault="001548BA" w:rsidP="001548BA">
      <w:pPr>
        <w:autoSpaceDE w:val="0"/>
        <w:autoSpaceDN w:val="0"/>
        <w:adjustRightInd w:val="0"/>
        <w:spacing w:before="120" w:after="120" w:line="360" w:lineRule="auto"/>
        <w:ind w:firstLine="708"/>
        <w:jc w:val="both"/>
      </w:pPr>
      <w:r w:rsidRPr="003015C7">
        <w:t xml:space="preserve">Les bactériocines sont généralement produites à la fin de la phase exponentielle et au début de la phase stationnaire de croissance. Elles peuvent ensuite être dégradées </w:t>
      </w:r>
      <w:r w:rsidRPr="003015C7">
        <w:lastRenderedPageBreak/>
        <w:t>par les protéases produites par la bactérie lactique productrice ou être adsorbées à sa surface ce qui mène à la baisse de la concentration de bactériocines dans la culture</w:t>
      </w:r>
      <w:r>
        <w:t xml:space="preserve">         </w:t>
      </w:r>
      <w:r w:rsidRPr="00E41F47">
        <w:rPr>
          <w:color w:val="0000FF"/>
        </w:rPr>
        <w:t xml:space="preserve">(Yang </w:t>
      </w:r>
      <w:r w:rsidRPr="00E41F47">
        <w:rPr>
          <w:i/>
          <w:iCs/>
          <w:color w:val="0000FF"/>
        </w:rPr>
        <w:t>et al</w:t>
      </w:r>
      <w:r w:rsidRPr="00E41F47">
        <w:rPr>
          <w:color w:val="0000FF"/>
        </w:rPr>
        <w:t>., 1992)</w:t>
      </w:r>
      <w:r w:rsidRPr="003015C7">
        <w:t>.</w:t>
      </w:r>
    </w:p>
    <w:p w:rsidR="001548BA" w:rsidRPr="003015C7" w:rsidRDefault="001548BA" w:rsidP="001548BA">
      <w:pPr>
        <w:autoSpaceDE w:val="0"/>
        <w:autoSpaceDN w:val="0"/>
        <w:adjustRightInd w:val="0"/>
        <w:spacing w:before="120" w:after="120" w:line="360" w:lineRule="auto"/>
        <w:ind w:firstLine="708"/>
        <w:jc w:val="both"/>
      </w:pPr>
      <w:r w:rsidRPr="003015C7">
        <w:t>Les facteurs influençant la  production de bactériocines sont principalement la souche productrice, la température, le pH, la composition du milieu.</w:t>
      </w:r>
    </w:p>
    <w:p w:rsidR="001548BA" w:rsidRPr="003015C7" w:rsidRDefault="001548BA" w:rsidP="001548BA">
      <w:pPr>
        <w:autoSpaceDE w:val="0"/>
        <w:autoSpaceDN w:val="0"/>
        <w:adjustRightInd w:val="0"/>
        <w:spacing w:before="120" w:after="120" w:line="360" w:lineRule="auto"/>
        <w:ind w:firstLine="708"/>
        <w:jc w:val="both"/>
        <w:rPr>
          <w:color w:val="0000FF"/>
        </w:rPr>
      </w:pPr>
      <w:r w:rsidRPr="003015C7">
        <w:t xml:space="preserve">Les températures et pH optimaux de production sont souvent inférieurs à ceux optimaux pour la croissance. C’est par exemple le cas </w:t>
      </w:r>
      <w:r>
        <w:t>de</w:t>
      </w:r>
      <w:r w:rsidRPr="003015C7">
        <w:t xml:space="preserve"> la </w:t>
      </w:r>
      <w:r w:rsidRPr="00BA0839">
        <w:t>production de</w:t>
      </w:r>
      <w:r w:rsidRPr="009F11D9">
        <w:rPr>
          <w:color w:val="C00000"/>
        </w:rPr>
        <w:t> </w:t>
      </w:r>
      <w:r>
        <w:t>la</w:t>
      </w:r>
      <w:r w:rsidRPr="003015C7">
        <w:t xml:space="preserve"> sakacin P par </w:t>
      </w:r>
      <w:r w:rsidRPr="003015C7">
        <w:rPr>
          <w:i/>
          <w:iCs/>
        </w:rPr>
        <w:t>Lb. sake</w:t>
      </w:r>
      <w:r w:rsidRPr="003015C7">
        <w:t xml:space="preserve"> CCUG42687 </w:t>
      </w:r>
      <w:r w:rsidRPr="003015C7">
        <w:rPr>
          <w:color w:val="0000FF"/>
        </w:rPr>
        <w:t xml:space="preserve">(Moretro </w:t>
      </w:r>
      <w:r w:rsidRPr="003015C7">
        <w:rPr>
          <w:i/>
          <w:iCs/>
          <w:color w:val="0000FF"/>
        </w:rPr>
        <w:t>et al</w:t>
      </w:r>
      <w:r w:rsidRPr="003015C7">
        <w:rPr>
          <w:color w:val="0000FF"/>
        </w:rPr>
        <w:t>., 2000)</w:t>
      </w:r>
      <w:r w:rsidRPr="003015C7">
        <w:t>.</w:t>
      </w:r>
    </w:p>
    <w:p w:rsidR="001548BA" w:rsidRDefault="001548BA" w:rsidP="001548BA">
      <w:pPr>
        <w:autoSpaceDE w:val="0"/>
        <w:autoSpaceDN w:val="0"/>
        <w:adjustRightInd w:val="0"/>
        <w:spacing w:before="120" w:after="120" w:line="360" w:lineRule="auto"/>
        <w:jc w:val="both"/>
      </w:pPr>
      <w:r w:rsidRPr="003015C7">
        <w:t xml:space="preserve">                    La composition du milieu, tout particulièrement les sources et concentrations de carbone et azote, affectent fortement la production de bactériocines. Les bactéries lactiques productrices requièrent de nombreux nutriments pour leur croissance et des milieux riches, contenant de l’extrait de viande, de levure et des hydrolysats de protéines, sont nécessaires. </w:t>
      </w:r>
    </w:p>
    <w:p w:rsidR="001548BA" w:rsidRPr="003015C7" w:rsidRDefault="001548BA" w:rsidP="001548BA">
      <w:pPr>
        <w:autoSpaceDE w:val="0"/>
        <w:autoSpaceDN w:val="0"/>
        <w:adjustRightInd w:val="0"/>
        <w:spacing w:before="120" w:after="120" w:line="360" w:lineRule="auto"/>
        <w:ind w:firstLine="708"/>
        <w:jc w:val="both"/>
        <w:rPr>
          <w:color w:val="0000FF"/>
        </w:rPr>
      </w:pPr>
      <w:r w:rsidRPr="003015C7">
        <w:t xml:space="preserve">Il a déjà été montré que l’augmentation des concentrations en extrait de levure, extrait de viande ou peptone peut permettre une augmentation de la production de bactériocines </w:t>
      </w:r>
      <w:r w:rsidRPr="003015C7">
        <w:rPr>
          <w:color w:val="0000FF"/>
        </w:rPr>
        <w:t xml:space="preserve">(Mataragas </w:t>
      </w:r>
      <w:r w:rsidRPr="003015C7">
        <w:rPr>
          <w:i/>
          <w:iCs/>
          <w:color w:val="0000FF"/>
        </w:rPr>
        <w:t>et al</w:t>
      </w:r>
      <w:r w:rsidRPr="003015C7">
        <w:rPr>
          <w:color w:val="0000FF"/>
        </w:rPr>
        <w:t>., 2004</w:t>
      </w:r>
      <w:r>
        <w:rPr>
          <w:color w:val="0000FF"/>
        </w:rPr>
        <w:t> ; </w:t>
      </w:r>
      <w:r w:rsidRPr="003015C7">
        <w:rPr>
          <w:color w:val="0000FF"/>
        </w:rPr>
        <w:t xml:space="preserve"> Verluyten </w:t>
      </w:r>
      <w:r w:rsidRPr="003015C7">
        <w:rPr>
          <w:i/>
          <w:iCs/>
          <w:color w:val="0000FF"/>
        </w:rPr>
        <w:t>et al</w:t>
      </w:r>
      <w:r w:rsidRPr="003015C7">
        <w:rPr>
          <w:color w:val="0000FF"/>
        </w:rPr>
        <w:t>., 2004</w:t>
      </w:r>
      <w:r>
        <w:rPr>
          <w:color w:val="0000FF"/>
        </w:rPr>
        <w:t xml:space="preserve"> </w:t>
      </w:r>
      <w:r w:rsidRPr="003015C7">
        <w:rPr>
          <w:color w:val="0000FF"/>
        </w:rPr>
        <w:t xml:space="preserve">; Todorov </w:t>
      </w:r>
      <w:r w:rsidRPr="003015C7">
        <w:rPr>
          <w:i/>
          <w:iCs/>
          <w:color w:val="0000FF"/>
        </w:rPr>
        <w:t>et al</w:t>
      </w:r>
      <w:r w:rsidRPr="003015C7">
        <w:rPr>
          <w:color w:val="0000FF"/>
        </w:rPr>
        <w:t>., 2005)</w:t>
      </w:r>
      <w:r w:rsidRPr="003015C7">
        <w:t>.</w:t>
      </w:r>
    </w:p>
    <w:p w:rsidR="001548BA" w:rsidRPr="003015C7" w:rsidRDefault="001548BA" w:rsidP="001548BA">
      <w:pPr>
        <w:autoSpaceDE w:val="0"/>
        <w:autoSpaceDN w:val="0"/>
        <w:adjustRightInd w:val="0"/>
        <w:spacing w:before="120" w:after="120" w:line="360" w:lineRule="auto"/>
        <w:ind w:firstLine="708"/>
        <w:jc w:val="both"/>
      </w:pPr>
      <w:r w:rsidRPr="003015C7">
        <w:t xml:space="preserve">D’autre part, quelques études ont montré que la source de carbone utilisée et sa concentration  est un facteur important dans l’optimisation de la production de bactériocines </w:t>
      </w:r>
      <w:r w:rsidRPr="003015C7">
        <w:rPr>
          <w:color w:val="0000FF"/>
        </w:rPr>
        <w:t xml:space="preserve">(Leal-Sanchez </w:t>
      </w:r>
      <w:r w:rsidRPr="003015C7">
        <w:rPr>
          <w:i/>
          <w:iCs/>
          <w:color w:val="0000FF"/>
        </w:rPr>
        <w:t>et al</w:t>
      </w:r>
      <w:r w:rsidRPr="003015C7">
        <w:rPr>
          <w:color w:val="0000FF"/>
        </w:rPr>
        <w:t xml:space="preserve">., 2002 ; Leroy </w:t>
      </w:r>
      <w:r w:rsidRPr="003015C7">
        <w:rPr>
          <w:i/>
          <w:iCs/>
          <w:color w:val="0000FF"/>
        </w:rPr>
        <w:t>et al</w:t>
      </w:r>
      <w:r w:rsidRPr="003015C7">
        <w:rPr>
          <w:color w:val="0000FF"/>
        </w:rPr>
        <w:t xml:space="preserve">., 2006 ; Chen </w:t>
      </w:r>
      <w:r w:rsidRPr="003015C7">
        <w:rPr>
          <w:i/>
          <w:iCs/>
          <w:color w:val="0000FF"/>
        </w:rPr>
        <w:t>et al</w:t>
      </w:r>
      <w:r w:rsidRPr="003015C7">
        <w:rPr>
          <w:color w:val="0000FF"/>
        </w:rPr>
        <w:t xml:space="preserve">., 2007 ; Anastasiadou </w:t>
      </w:r>
      <w:r w:rsidRPr="003015C7">
        <w:rPr>
          <w:i/>
          <w:iCs/>
          <w:color w:val="0000FF"/>
        </w:rPr>
        <w:t>et al</w:t>
      </w:r>
      <w:r w:rsidRPr="003015C7">
        <w:rPr>
          <w:color w:val="0000FF"/>
        </w:rPr>
        <w:t>., 2008)</w:t>
      </w:r>
      <w:r w:rsidRPr="003015C7">
        <w:t xml:space="preserve">. </w:t>
      </w:r>
    </w:p>
    <w:p w:rsidR="001548BA" w:rsidRPr="003015C7" w:rsidRDefault="001548BA" w:rsidP="001548BA">
      <w:pPr>
        <w:autoSpaceDE w:val="0"/>
        <w:autoSpaceDN w:val="0"/>
        <w:adjustRightInd w:val="0"/>
        <w:spacing w:before="120" w:after="120" w:line="360" w:lineRule="auto"/>
        <w:jc w:val="both"/>
      </w:pPr>
    </w:p>
    <w:p w:rsidR="001548BA" w:rsidRPr="003015C7" w:rsidRDefault="001548BA" w:rsidP="001548BA">
      <w:pPr>
        <w:autoSpaceDE w:val="0"/>
        <w:autoSpaceDN w:val="0"/>
        <w:adjustRightInd w:val="0"/>
        <w:spacing w:before="120" w:after="120" w:line="360" w:lineRule="auto"/>
        <w:jc w:val="both"/>
      </w:pPr>
    </w:p>
    <w:p w:rsidR="001548BA" w:rsidRDefault="001548BA" w:rsidP="001548BA">
      <w:pPr>
        <w:autoSpaceDE w:val="0"/>
        <w:autoSpaceDN w:val="0"/>
        <w:adjustRightInd w:val="0"/>
        <w:spacing w:before="120" w:after="120" w:line="360" w:lineRule="auto"/>
        <w:jc w:val="both"/>
      </w:pPr>
    </w:p>
    <w:p w:rsidR="001548BA" w:rsidRDefault="001548BA" w:rsidP="001548BA">
      <w:pPr>
        <w:autoSpaceDE w:val="0"/>
        <w:autoSpaceDN w:val="0"/>
        <w:adjustRightInd w:val="0"/>
        <w:spacing w:before="120" w:after="120" w:line="360" w:lineRule="auto"/>
        <w:jc w:val="both"/>
      </w:pPr>
    </w:p>
    <w:p w:rsidR="001548BA" w:rsidRDefault="001548BA" w:rsidP="001548BA">
      <w:pPr>
        <w:autoSpaceDE w:val="0"/>
        <w:autoSpaceDN w:val="0"/>
        <w:adjustRightInd w:val="0"/>
        <w:spacing w:before="120" w:after="120" w:line="360" w:lineRule="auto"/>
        <w:jc w:val="both"/>
      </w:pPr>
    </w:p>
    <w:p w:rsidR="001548BA" w:rsidRDefault="001548BA" w:rsidP="001548BA"/>
    <w:p w:rsidR="001548BA" w:rsidRDefault="001548BA" w:rsidP="001548BA"/>
    <w:p w:rsidR="001548BA" w:rsidRDefault="001548BA" w:rsidP="001548BA"/>
    <w:p w:rsidR="001548BA" w:rsidRDefault="001548BA" w:rsidP="001548BA">
      <w:pPr>
        <w:autoSpaceDE w:val="0"/>
        <w:autoSpaceDN w:val="0"/>
        <w:adjustRightInd w:val="0"/>
        <w:spacing w:before="120" w:after="120" w:line="360" w:lineRule="auto"/>
        <w:ind w:firstLine="708"/>
        <w:jc w:val="both"/>
      </w:pPr>
    </w:p>
    <w:p w:rsidR="00242324" w:rsidRDefault="00242324"/>
    <w:sectPr w:rsidR="00242324" w:rsidSect="001C2460">
      <w:headerReference w:type="even" r:id="rId11"/>
      <w:headerReference w:type="default" r:id="rId12"/>
      <w:footerReference w:type="default" r:id="rId13"/>
      <w:pgSz w:w="11906" w:h="16838" w:code="9"/>
      <w:pgMar w:top="1259" w:right="1134" w:bottom="1259" w:left="2268" w:header="709" w:footer="709" w:gutter="0"/>
      <w:pgNumType w:start="5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01CB" w:rsidRDefault="00D801CB" w:rsidP="00992132">
      <w:r>
        <w:separator/>
      </w:r>
    </w:p>
  </w:endnote>
  <w:endnote w:type="continuationSeparator" w:id="1">
    <w:p w:rsidR="00D801CB" w:rsidRDefault="00D801CB" w:rsidP="00992132">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F98" w:rsidRPr="00C94E48" w:rsidRDefault="001C2460" w:rsidP="00D25D80">
    <w:pPr>
      <w:pStyle w:val="Pieddepage"/>
      <w:pBdr>
        <w:top w:val="single" w:sz="4" w:space="1" w:color="auto"/>
      </w:pBdr>
      <w:jc w:val="right"/>
      <w:rPr>
        <w:szCs w:val="20"/>
      </w:rPr>
    </w:pPr>
    <w:r w:rsidRPr="006378A5">
      <w:rPr>
        <w:i/>
        <w:sz w:val="20"/>
        <w:szCs w:val="20"/>
      </w:rPr>
      <w:t>Revue bibliographique</w:t>
    </w:r>
    <w:r>
      <w:rPr>
        <w:i/>
        <w:sz w:val="20"/>
        <w:szCs w:val="20"/>
      </w:rPr>
      <w:t xml:space="preserve"> : Chapitre </w:t>
    </w:r>
    <w:r w:rsidRPr="00D25D80">
      <w:rPr>
        <w:i/>
        <w:sz w:val="20"/>
        <w:szCs w:val="20"/>
      </w:rPr>
      <w:t>III</w:t>
    </w:r>
    <w:r>
      <w:rPr>
        <w:i/>
        <w:sz w:val="20"/>
        <w:szCs w:val="20"/>
      </w:rPr>
      <w:t xml:space="preserve"> : </w:t>
    </w:r>
    <w:r w:rsidRPr="00666B83">
      <w:rPr>
        <w:i/>
        <w:sz w:val="20"/>
        <w:szCs w:val="20"/>
      </w:rPr>
      <w:t>Les bactériocines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01CB" w:rsidRDefault="00D801CB" w:rsidP="00992132">
      <w:r>
        <w:separator/>
      </w:r>
    </w:p>
  </w:footnote>
  <w:footnote w:type="continuationSeparator" w:id="1">
    <w:p w:rsidR="00D801CB" w:rsidRDefault="00D801CB" w:rsidP="009921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F98" w:rsidRDefault="00992132" w:rsidP="00BC253D">
    <w:pPr>
      <w:pStyle w:val="En-tte"/>
      <w:framePr w:wrap="around" w:vAnchor="text" w:hAnchor="margin" w:xAlign="right" w:y="1"/>
      <w:rPr>
        <w:rStyle w:val="Numrodepage"/>
      </w:rPr>
    </w:pPr>
    <w:r>
      <w:rPr>
        <w:rStyle w:val="Numrodepage"/>
      </w:rPr>
      <w:fldChar w:fldCharType="begin"/>
    </w:r>
    <w:r w:rsidR="001C2460">
      <w:rPr>
        <w:rStyle w:val="Numrodepage"/>
      </w:rPr>
      <w:instrText xml:space="preserve">PAGE  </w:instrText>
    </w:r>
    <w:r>
      <w:rPr>
        <w:rStyle w:val="Numrodepage"/>
      </w:rPr>
      <w:fldChar w:fldCharType="end"/>
    </w:r>
  </w:p>
  <w:p w:rsidR="003E4F98" w:rsidRDefault="00D801CB" w:rsidP="00BC253D">
    <w:pPr>
      <w:pStyle w:val="En-tte"/>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F98" w:rsidRDefault="00992132" w:rsidP="00BC253D">
    <w:pPr>
      <w:pStyle w:val="En-tte"/>
      <w:framePr w:wrap="around" w:vAnchor="text" w:hAnchor="page" w:x="11269" w:y="-168"/>
      <w:rPr>
        <w:rStyle w:val="Numrodepage"/>
      </w:rPr>
    </w:pPr>
    <w:r>
      <w:rPr>
        <w:rStyle w:val="Numrodepage"/>
      </w:rPr>
      <w:fldChar w:fldCharType="begin"/>
    </w:r>
    <w:r w:rsidR="001C2460">
      <w:rPr>
        <w:rStyle w:val="Numrodepage"/>
      </w:rPr>
      <w:instrText xml:space="preserve">PAGE  </w:instrText>
    </w:r>
    <w:r>
      <w:rPr>
        <w:rStyle w:val="Numrodepage"/>
      </w:rPr>
      <w:fldChar w:fldCharType="separate"/>
    </w:r>
    <w:r w:rsidR="0018736E">
      <w:rPr>
        <w:rStyle w:val="Numrodepage"/>
        <w:noProof/>
      </w:rPr>
      <w:t>53</w:t>
    </w:r>
    <w:r>
      <w:rPr>
        <w:rStyle w:val="Numrodepage"/>
      </w:rPr>
      <w:fldChar w:fldCharType="end"/>
    </w:r>
  </w:p>
  <w:p w:rsidR="003E4F98" w:rsidRPr="00F42064" w:rsidRDefault="001C2460" w:rsidP="00EB6A09">
    <w:pPr>
      <w:pStyle w:val="En-tte"/>
      <w:tabs>
        <w:tab w:val="clear" w:pos="9072"/>
        <w:tab w:val="right" w:pos="9540"/>
      </w:tabs>
      <w:ind w:left="-1440" w:right="-856"/>
      <w:jc w:val="center"/>
      <w:rPr>
        <w:i/>
        <w:sz w:val="14"/>
        <w:szCs w:val="14"/>
      </w:rPr>
    </w:pPr>
    <w:r w:rsidRPr="008E0A5B">
      <w:rPr>
        <w:rFonts w:ascii="Book Antiqua" w:hAnsi="Book Antiqua"/>
        <w:i/>
        <w:sz w:val="16"/>
        <w:szCs w:val="16"/>
      </w:rPr>
      <w:t xml:space="preserve">  </w:t>
    </w:r>
    <w:r w:rsidRPr="00F42064">
      <w:rPr>
        <w:iCs/>
        <w:noProof/>
        <w:sz w:val="14"/>
        <w:szCs w:val="14"/>
      </w:rPr>
      <w:t>B. Nawel.</w:t>
    </w:r>
    <w:r w:rsidRPr="00F42064">
      <w:rPr>
        <w:i/>
        <w:sz w:val="14"/>
        <w:szCs w:val="14"/>
      </w:rPr>
      <w:t xml:space="preserve"> </w:t>
    </w:r>
    <w:r w:rsidRPr="00F42064">
      <w:rPr>
        <w:iCs/>
        <w:sz w:val="14"/>
        <w:szCs w:val="14"/>
      </w:rPr>
      <w:t xml:space="preserve">Antagonisme de </w:t>
    </w:r>
    <w:r w:rsidRPr="00947F22">
      <w:rPr>
        <w:i/>
        <w:sz w:val="14"/>
        <w:szCs w:val="14"/>
      </w:rPr>
      <w:t>Bifidobacterium</w:t>
    </w:r>
    <w:r w:rsidRPr="00F42064">
      <w:rPr>
        <w:iCs/>
        <w:sz w:val="14"/>
        <w:szCs w:val="14"/>
      </w:rPr>
      <w:t xml:space="preserve"> sp et </w:t>
    </w:r>
    <w:r w:rsidRPr="00947F22">
      <w:rPr>
        <w:i/>
        <w:sz w:val="14"/>
        <w:szCs w:val="14"/>
      </w:rPr>
      <w:t>Lactobacillus rhamnosus</w:t>
    </w:r>
    <w:r w:rsidRPr="00F42064">
      <w:rPr>
        <w:iCs/>
        <w:sz w:val="14"/>
        <w:szCs w:val="14"/>
      </w:rPr>
      <w:t xml:space="preserve"> vis-à-vis de</w:t>
    </w:r>
    <w:r w:rsidRPr="00F42064">
      <w:rPr>
        <w:i/>
        <w:sz w:val="14"/>
        <w:szCs w:val="14"/>
      </w:rPr>
      <w:t xml:space="preserve"> </w:t>
    </w:r>
    <w:r w:rsidRPr="00F42064">
      <w:rPr>
        <w:iCs/>
        <w:sz w:val="14"/>
        <w:szCs w:val="14"/>
      </w:rPr>
      <w:t>quelques souches pathogènes. Magister. Hyg et séc agro-alimentaire. univ.</w:t>
    </w:r>
    <w:r>
      <w:rPr>
        <w:iCs/>
        <w:sz w:val="14"/>
        <w:szCs w:val="14"/>
      </w:rPr>
      <w:t xml:space="preserve"> </w:t>
    </w:r>
    <w:r w:rsidRPr="00F42064">
      <w:rPr>
        <w:iCs/>
        <w:sz w:val="14"/>
        <w:szCs w:val="14"/>
      </w:rPr>
      <w:t>Mosta</w:t>
    </w:r>
  </w:p>
  <w:p w:rsidR="003E4F98" w:rsidRPr="008E0A5B" w:rsidRDefault="00992132" w:rsidP="00EB6A09">
    <w:pPr>
      <w:pStyle w:val="En-tte"/>
      <w:tabs>
        <w:tab w:val="clear" w:pos="9072"/>
        <w:tab w:val="right" w:pos="9540"/>
      </w:tabs>
      <w:ind w:left="-180" w:right="-752" w:hanging="360"/>
      <w:jc w:val="center"/>
      <w:rPr>
        <w:rFonts w:ascii="Book Antiqua" w:hAnsi="Book Antiqua"/>
        <w:iCs/>
        <w:sz w:val="20"/>
        <w:szCs w:val="20"/>
      </w:rPr>
    </w:pPr>
    <w:r w:rsidRPr="00992132">
      <w:rPr>
        <w:iCs/>
        <w:noProof/>
        <w:sz w:val="16"/>
        <w:szCs w:val="16"/>
      </w:rPr>
      <w:pict>
        <v:line id="_x0000_s1025" style="position:absolute;left:0;text-align:left;z-index:251658240" from="-49.55pt,2.85pt" to="436.25pt,2.85pt" strokeweight=".25pt"/>
      </w:pict>
    </w:r>
  </w:p>
  <w:p w:rsidR="003E4F98" w:rsidRPr="00307CE9" w:rsidRDefault="00D801CB" w:rsidP="00EB6A09">
    <w:pPr>
      <w:pStyle w:val="En-tte"/>
      <w:tabs>
        <w:tab w:val="clear" w:pos="9072"/>
        <w:tab w:val="right" w:pos="9540"/>
      </w:tabs>
      <w:ind w:left="-180" w:right="-496" w:hanging="360"/>
      <w:jc w:val="center"/>
      <w:rPr>
        <w:rFonts w:ascii="Book Antiqua" w:hAnsi="Book Antiqua"/>
        <w:iCs/>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317B0"/>
    <w:multiLevelType w:val="multilevel"/>
    <w:tmpl w:val="2D1E395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6201E7F"/>
    <w:multiLevelType w:val="multilevel"/>
    <w:tmpl w:val="7068A98C"/>
    <w:lvl w:ilvl="0">
      <w:numFmt w:val="decimal"/>
      <w:lvlText w:val="%1"/>
      <w:lvlJc w:val="left"/>
      <w:pPr>
        <w:tabs>
          <w:tab w:val="num" w:pos="660"/>
        </w:tabs>
        <w:ind w:left="660" w:hanging="660"/>
      </w:pPr>
      <w:rPr>
        <w:rFonts w:hint="default"/>
      </w:rPr>
    </w:lvl>
    <w:lvl w:ilvl="1">
      <w:start w:val="16"/>
      <w:numFmt w:val="decimalZero"/>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C2E6A65"/>
    <w:multiLevelType w:val="hybridMultilevel"/>
    <w:tmpl w:val="7F4610C6"/>
    <w:lvl w:ilvl="0" w:tplc="61BE0FF4">
      <w:start w:val="1"/>
      <w:numFmt w:val="bullet"/>
      <w:lvlText w:val=""/>
      <w:lvlJc w:val="left"/>
      <w:pPr>
        <w:tabs>
          <w:tab w:val="num" w:pos="1080"/>
        </w:tabs>
        <w:ind w:left="1080" w:hanging="360"/>
      </w:pPr>
      <w:rPr>
        <w:rFonts w:ascii="Symbol" w:eastAsia="Times New Roman" w:hAnsi="Symbol" w:cs="Times New Roman" w:hint="default"/>
      </w:rPr>
    </w:lvl>
    <w:lvl w:ilvl="1" w:tplc="040C0001">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7AB2FC4"/>
    <w:multiLevelType w:val="hybridMultilevel"/>
    <w:tmpl w:val="6E8A1D7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9797BE0"/>
    <w:multiLevelType w:val="hybridMultilevel"/>
    <w:tmpl w:val="264454A4"/>
    <w:lvl w:ilvl="0" w:tplc="040C0001">
      <w:start w:val="1"/>
      <w:numFmt w:val="bullet"/>
      <w:lvlText w:val=""/>
      <w:lvlJc w:val="left"/>
      <w:pPr>
        <w:tabs>
          <w:tab w:val="num" w:pos="900"/>
        </w:tabs>
        <w:ind w:left="900" w:hanging="360"/>
      </w:pPr>
      <w:rPr>
        <w:rFonts w:ascii="Symbol" w:hAnsi="Symbol" w:hint="default"/>
      </w:rPr>
    </w:lvl>
    <w:lvl w:ilvl="1" w:tplc="5D6A0BDE">
      <w:start w:val="1"/>
      <w:numFmt w:val="bullet"/>
      <w:lvlText w:val="-"/>
      <w:lvlJc w:val="left"/>
      <w:pPr>
        <w:tabs>
          <w:tab w:val="num" w:pos="1481"/>
        </w:tabs>
        <w:ind w:left="1481" w:hanging="360"/>
      </w:pPr>
      <w:rPr>
        <w:rFonts w:ascii="Times New Roman" w:eastAsia="Times New Roman" w:hAnsi="Times New Roman" w:cs="Times New Roman" w:hint="default"/>
      </w:rPr>
    </w:lvl>
    <w:lvl w:ilvl="2" w:tplc="040C0005" w:tentative="1">
      <w:start w:val="1"/>
      <w:numFmt w:val="bullet"/>
      <w:lvlText w:val=""/>
      <w:lvlJc w:val="left"/>
      <w:pPr>
        <w:tabs>
          <w:tab w:val="num" w:pos="2201"/>
        </w:tabs>
        <w:ind w:left="2201" w:hanging="360"/>
      </w:pPr>
      <w:rPr>
        <w:rFonts w:ascii="Wingdings" w:hAnsi="Wingdings" w:hint="default"/>
      </w:rPr>
    </w:lvl>
    <w:lvl w:ilvl="3" w:tplc="040C0001" w:tentative="1">
      <w:start w:val="1"/>
      <w:numFmt w:val="bullet"/>
      <w:lvlText w:val=""/>
      <w:lvlJc w:val="left"/>
      <w:pPr>
        <w:tabs>
          <w:tab w:val="num" w:pos="2921"/>
        </w:tabs>
        <w:ind w:left="2921" w:hanging="360"/>
      </w:pPr>
      <w:rPr>
        <w:rFonts w:ascii="Symbol" w:hAnsi="Symbol" w:hint="default"/>
      </w:rPr>
    </w:lvl>
    <w:lvl w:ilvl="4" w:tplc="040C0003" w:tentative="1">
      <w:start w:val="1"/>
      <w:numFmt w:val="bullet"/>
      <w:lvlText w:val="o"/>
      <w:lvlJc w:val="left"/>
      <w:pPr>
        <w:tabs>
          <w:tab w:val="num" w:pos="3641"/>
        </w:tabs>
        <w:ind w:left="3641" w:hanging="360"/>
      </w:pPr>
      <w:rPr>
        <w:rFonts w:ascii="Courier New" w:hAnsi="Courier New" w:hint="default"/>
      </w:rPr>
    </w:lvl>
    <w:lvl w:ilvl="5" w:tplc="040C0005" w:tentative="1">
      <w:start w:val="1"/>
      <w:numFmt w:val="bullet"/>
      <w:lvlText w:val=""/>
      <w:lvlJc w:val="left"/>
      <w:pPr>
        <w:tabs>
          <w:tab w:val="num" w:pos="4361"/>
        </w:tabs>
        <w:ind w:left="4361" w:hanging="360"/>
      </w:pPr>
      <w:rPr>
        <w:rFonts w:ascii="Wingdings" w:hAnsi="Wingdings" w:hint="default"/>
      </w:rPr>
    </w:lvl>
    <w:lvl w:ilvl="6" w:tplc="040C0001" w:tentative="1">
      <w:start w:val="1"/>
      <w:numFmt w:val="bullet"/>
      <w:lvlText w:val=""/>
      <w:lvlJc w:val="left"/>
      <w:pPr>
        <w:tabs>
          <w:tab w:val="num" w:pos="5081"/>
        </w:tabs>
        <w:ind w:left="5081" w:hanging="360"/>
      </w:pPr>
      <w:rPr>
        <w:rFonts w:ascii="Symbol" w:hAnsi="Symbol" w:hint="default"/>
      </w:rPr>
    </w:lvl>
    <w:lvl w:ilvl="7" w:tplc="040C0003" w:tentative="1">
      <w:start w:val="1"/>
      <w:numFmt w:val="bullet"/>
      <w:lvlText w:val="o"/>
      <w:lvlJc w:val="left"/>
      <w:pPr>
        <w:tabs>
          <w:tab w:val="num" w:pos="5801"/>
        </w:tabs>
        <w:ind w:left="5801" w:hanging="360"/>
      </w:pPr>
      <w:rPr>
        <w:rFonts w:ascii="Courier New" w:hAnsi="Courier New" w:hint="default"/>
      </w:rPr>
    </w:lvl>
    <w:lvl w:ilvl="8" w:tplc="040C0005" w:tentative="1">
      <w:start w:val="1"/>
      <w:numFmt w:val="bullet"/>
      <w:lvlText w:val=""/>
      <w:lvlJc w:val="left"/>
      <w:pPr>
        <w:tabs>
          <w:tab w:val="num" w:pos="6521"/>
        </w:tabs>
        <w:ind w:left="6521" w:hanging="360"/>
      </w:pPr>
      <w:rPr>
        <w:rFonts w:ascii="Wingdings" w:hAnsi="Wingdings" w:hint="default"/>
      </w:rPr>
    </w:lvl>
  </w:abstractNum>
  <w:abstractNum w:abstractNumId="5">
    <w:nsid w:val="1C6751F2"/>
    <w:multiLevelType w:val="hybridMultilevel"/>
    <w:tmpl w:val="9A9E4A6A"/>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nsid w:val="1E682FE5"/>
    <w:multiLevelType w:val="multilevel"/>
    <w:tmpl w:val="7068D568"/>
    <w:lvl w:ilvl="0">
      <w:start w:val="1"/>
      <w:numFmt w:val="bullet"/>
      <w:lvlText w:val=""/>
      <w:lvlJc w:val="left"/>
      <w:pPr>
        <w:tabs>
          <w:tab w:val="num" w:pos="1260"/>
        </w:tabs>
        <w:ind w:left="1260" w:hanging="360"/>
      </w:pPr>
      <w:rPr>
        <w:rFonts w:ascii="Wingdings" w:hAnsi="Wingdings"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7">
    <w:nsid w:val="275E0A3F"/>
    <w:multiLevelType w:val="hybridMultilevel"/>
    <w:tmpl w:val="2B4AF904"/>
    <w:lvl w:ilvl="0" w:tplc="DD4C666E">
      <w:start w:val="1"/>
      <w:numFmt w:val="decimal"/>
      <w:lvlText w:val="%1)"/>
      <w:lvlJc w:val="left"/>
      <w:pPr>
        <w:tabs>
          <w:tab w:val="num" w:pos="720"/>
        </w:tabs>
        <w:ind w:left="720" w:hanging="360"/>
      </w:pPr>
      <w:rPr>
        <w:rFonts w:hint="default"/>
        <w:b/>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nsid w:val="2CF45232"/>
    <w:multiLevelType w:val="hybridMultilevel"/>
    <w:tmpl w:val="2B76DCF4"/>
    <w:lvl w:ilvl="0" w:tplc="040C0001">
      <w:start w:val="1"/>
      <w:numFmt w:val="bullet"/>
      <w:lvlText w:val=""/>
      <w:lvlJc w:val="left"/>
      <w:pPr>
        <w:tabs>
          <w:tab w:val="num" w:pos="1260"/>
        </w:tabs>
        <w:ind w:left="1260" w:hanging="360"/>
      </w:pPr>
      <w:rPr>
        <w:rFonts w:ascii="Symbol" w:hAnsi="Symbol"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9">
    <w:nsid w:val="31D33A9F"/>
    <w:multiLevelType w:val="hybridMultilevel"/>
    <w:tmpl w:val="7068D568"/>
    <w:lvl w:ilvl="0" w:tplc="040C0009">
      <w:start w:val="1"/>
      <w:numFmt w:val="bullet"/>
      <w:lvlText w:val=""/>
      <w:lvlJc w:val="left"/>
      <w:pPr>
        <w:tabs>
          <w:tab w:val="num" w:pos="1260"/>
        </w:tabs>
        <w:ind w:left="1260" w:hanging="360"/>
      </w:pPr>
      <w:rPr>
        <w:rFonts w:ascii="Wingdings" w:hAnsi="Wingdings"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10">
    <w:nsid w:val="369A7430"/>
    <w:multiLevelType w:val="hybridMultilevel"/>
    <w:tmpl w:val="654C78C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3AA05300"/>
    <w:multiLevelType w:val="hybridMultilevel"/>
    <w:tmpl w:val="E9FC1BA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EF27903"/>
    <w:multiLevelType w:val="hybridMultilevel"/>
    <w:tmpl w:val="78A4A37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40B52183"/>
    <w:multiLevelType w:val="hybridMultilevel"/>
    <w:tmpl w:val="929872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47705A16"/>
    <w:multiLevelType w:val="hybridMultilevel"/>
    <w:tmpl w:val="77EE889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99052E7"/>
    <w:multiLevelType w:val="hybridMultilevel"/>
    <w:tmpl w:val="676620EE"/>
    <w:lvl w:ilvl="0" w:tplc="040C0009">
      <w:start w:val="1"/>
      <w:numFmt w:val="bullet"/>
      <w:lvlText w:val=""/>
      <w:lvlJc w:val="left"/>
      <w:pPr>
        <w:tabs>
          <w:tab w:val="num" w:pos="1259"/>
        </w:tabs>
        <w:ind w:left="1259" w:hanging="360"/>
      </w:pPr>
      <w:rPr>
        <w:rFonts w:ascii="Wingdings" w:hAnsi="Wingdings" w:hint="default"/>
      </w:rPr>
    </w:lvl>
    <w:lvl w:ilvl="1" w:tplc="040C0003" w:tentative="1">
      <w:start w:val="1"/>
      <w:numFmt w:val="bullet"/>
      <w:lvlText w:val="o"/>
      <w:lvlJc w:val="left"/>
      <w:pPr>
        <w:tabs>
          <w:tab w:val="num" w:pos="1979"/>
        </w:tabs>
        <w:ind w:left="1979" w:hanging="360"/>
      </w:pPr>
      <w:rPr>
        <w:rFonts w:ascii="Courier New" w:hAnsi="Courier New" w:cs="Courier New" w:hint="default"/>
      </w:rPr>
    </w:lvl>
    <w:lvl w:ilvl="2" w:tplc="040C0005" w:tentative="1">
      <w:start w:val="1"/>
      <w:numFmt w:val="bullet"/>
      <w:lvlText w:val=""/>
      <w:lvlJc w:val="left"/>
      <w:pPr>
        <w:tabs>
          <w:tab w:val="num" w:pos="2699"/>
        </w:tabs>
        <w:ind w:left="2699" w:hanging="360"/>
      </w:pPr>
      <w:rPr>
        <w:rFonts w:ascii="Wingdings" w:hAnsi="Wingdings" w:hint="default"/>
      </w:rPr>
    </w:lvl>
    <w:lvl w:ilvl="3" w:tplc="040C0001" w:tentative="1">
      <w:start w:val="1"/>
      <w:numFmt w:val="bullet"/>
      <w:lvlText w:val=""/>
      <w:lvlJc w:val="left"/>
      <w:pPr>
        <w:tabs>
          <w:tab w:val="num" w:pos="3419"/>
        </w:tabs>
        <w:ind w:left="3419" w:hanging="360"/>
      </w:pPr>
      <w:rPr>
        <w:rFonts w:ascii="Symbol" w:hAnsi="Symbol" w:hint="default"/>
      </w:rPr>
    </w:lvl>
    <w:lvl w:ilvl="4" w:tplc="040C0003" w:tentative="1">
      <w:start w:val="1"/>
      <w:numFmt w:val="bullet"/>
      <w:lvlText w:val="o"/>
      <w:lvlJc w:val="left"/>
      <w:pPr>
        <w:tabs>
          <w:tab w:val="num" w:pos="4139"/>
        </w:tabs>
        <w:ind w:left="4139" w:hanging="360"/>
      </w:pPr>
      <w:rPr>
        <w:rFonts w:ascii="Courier New" w:hAnsi="Courier New" w:cs="Courier New" w:hint="default"/>
      </w:rPr>
    </w:lvl>
    <w:lvl w:ilvl="5" w:tplc="040C0005" w:tentative="1">
      <w:start w:val="1"/>
      <w:numFmt w:val="bullet"/>
      <w:lvlText w:val=""/>
      <w:lvlJc w:val="left"/>
      <w:pPr>
        <w:tabs>
          <w:tab w:val="num" w:pos="4859"/>
        </w:tabs>
        <w:ind w:left="4859" w:hanging="360"/>
      </w:pPr>
      <w:rPr>
        <w:rFonts w:ascii="Wingdings" w:hAnsi="Wingdings" w:hint="default"/>
      </w:rPr>
    </w:lvl>
    <w:lvl w:ilvl="6" w:tplc="040C0001" w:tentative="1">
      <w:start w:val="1"/>
      <w:numFmt w:val="bullet"/>
      <w:lvlText w:val=""/>
      <w:lvlJc w:val="left"/>
      <w:pPr>
        <w:tabs>
          <w:tab w:val="num" w:pos="5579"/>
        </w:tabs>
        <w:ind w:left="5579" w:hanging="360"/>
      </w:pPr>
      <w:rPr>
        <w:rFonts w:ascii="Symbol" w:hAnsi="Symbol" w:hint="default"/>
      </w:rPr>
    </w:lvl>
    <w:lvl w:ilvl="7" w:tplc="040C0003" w:tentative="1">
      <w:start w:val="1"/>
      <w:numFmt w:val="bullet"/>
      <w:lvlText w:val="o"/>
      <w:lvlJc w:val="left"/>
      <w:pPr>
        <w:tabs>
          <w:tab w:val="num" w:pos="6299"/>
        </w:tabs>
        <w:ind w:left="6299" w:hanging="360"/>
      </w:pPr>
      <w:rPr>
        <w:rFonts w:ascii="Courier New" w:hAnsi="Courier New" w:cs="Courier New" w:hint="default"/>
      </w:rPr>
    </w:lvl>
    <w:lvl w:ilvl="8" w:tplc="040C0005" w:tentative="1">
      <w:start w:val="1"/>
      <w:numFmt w:val="bullet"/>
      <w:lvlText w:val=""/>
      <w:lvlJc w:val="left"/>
      <w:pPr>
        <w:tabs>
          <w:tab w:val="num" w:pos="7019"/>
        </w:tabs>
        <w:ind w:left="7019" w:hanging="360"/>
      </w:pPr>
      <w:rPr>
        <w:rFonts w:ascii="Wingdings" w:hAnsi="Wingdings" w:hint="default"/>
      </w:rPr>
    </w:lvl>
  </w:abstractNum>
  <w:abstractNum w:abstractNumId="16">
    <w:nsid w:val="4CAC2605"/>
    <w:multiLevelType w:val="hybridMultilevel"/>
    <w:tmpl w:val="8068A012"/>
    <w:lvl w:ilvl="0" w:tplc="040C0001">
      <w:start w:val="1"/>
      <w:numFmt w:val="bullet"/>
      <w:lvlText w:val=""/>
      <w:lvlJc w:val="left"/>
      <w:pPr>
        <w:tabs>
          <w:tab w:val="num" w:pos="1259"/>
        </w:tabs>
        <w:ind w:left="1259" w:hanging="360"/>
      </w:pPr>
      <w:rPr>
        <w:rFonts w:ascii="Symbol" w:hAnsi="Symbol" w:hint="default"/>
      </w:rPr>
    </w:lvl>
    <w:lvl w:ilvl="1" w:tplc="040C0003" w:tentative="1">
      <w:start w:val="1"/>
      <w:numFmt w:val="bullet"/>
      <w:lvlText w:val="o"/>
      <w:lvlJc w:val="left"/>
      <w:pPr>
        <w:tabs>
          <w:tab w:val="num" w:pos="1979"/>
        </w:tabs>
        <w:ind w:left="1979" w:hanging="360"/>
      </w:pPr>
      <w:rPr>
        <w:rFonts w:ascii="Courier New" w:hAnsi="Courier New" w:cs="Courier New" w:hint="default"/>
      </w:rPr>
    </w:lvl>
    <w:lvl w:ilvl="2" w:tplc="040C0005" w:tentative="1">
      <w:start w:val="1"/>
      <w:numFmt w:val="bullet"/>
      <w:lvlText w:val=""/>
      <w:lvlJc w:val="left"/>
      <w:pPr>
        <w:tabs>
          <w:tab w:val="num" w:pos="2699"/>
        </w:tabs>
        <w:ind w:left="2699" w:hanging="360"/>
      </w:pPr>
      <w:rPr>
        <w:rFonts w:ascii="Wingdings" w:hAnsi="Wingdings" w:hint="default"/>
      </w:rPr>
    </w:lvl>
    <w:lvl w:ilvl="3" w:tplc="040C0001" w:tentative="1">
      <w:start w:val="1"/>
      <w:numFmt w:val="bullet"/>
      <w:lvlText w:val=""/>
      <w:lvlJc w:val="left"/>
      <w:pPr>
        <w:tabs>
          <w:tab w:val="num" w:pos="3419"/>
        </w:tabs>
        <w:ind w:left="3419" w:hanging="360"/>
      </w:pPr>
      <w:rPr>
        <w:rFonts w:ascii="Symbol" w:hAnsi="Symbol" w:hint="default"/>
      </w:rPr>
    </w:lvl>
    <w:lvl w:ilvl="4" w:tplc="040C0003" w:tentative="1">
      <w:start w:val="1"/>
      <w:numFmt w:val="bullet"/>
      <w:lvlText w:val="o"/>
      <w:lvlJc w:val="left"/>
      <w:pPr>
        <w:tabs>
          <w:tab w:val="num" w:pos="4139"/>
        </w:tabs>
        <w:ind w:left="4139" w:hanging="360"/>
      </w:pPr>
      <w:rPr>
        <w:rFonts w:ascii="Courier New" w:hAnsi="Courier New" w:cs="Courier New" w:hint="default"/>
      </w:rPr>
    </w:lvl>
    <w:lvl w:ilvl="5" w:tplc="040C0005" w:tentative="1">
      <w:start w:val="1"/>
      <w:numFmt w:val="bullet"/>
      <w:lvlText w:val=""/>
      <w:lvlJc w:val="left"/>
      <w:pPr>
        <w:tabs>
          <w:tab w:val="num" w:pos="4859"/>
        </w:tabs>
        <w:ind w:left="4859" w:hanging="360"/>
      </w:pPr>
      <w:rPr>
        <w:rFonts w:ascii="Wingdings" w:hAnsi="Wingdings" w:hint="default"/>
      </w:rPr>
    </w:lvl>
    <w:lvl w:ilvl="6" w:tplc="040C0001" w:tentative="1">
      <w:start w:val="1"/>
      <w:numFmt w:val="bullet"/>
      <w:lvlText w:val=""/>
      <w:lvlJc w:val="left"/>
      <w:pPr>
        <w:tabs>
          <w:tab w:val="num" w:pos="5579"/>
        </w:tabs>
        <w:ind w:left="5579" w:hanging="360"/>
      </w:pPr>
      <w:rPr>
        <w:rFonts w:ascii="Symbol" w:hAnsi="Symbol" w:hint="default"/>
      </w:rPr>
    </w:lvl>
    <w:lvl w:ilvl="7" w:tplc="040C0003" w:tentative="1">
      <w:start w:val="1"/>
      <w:numFmt w:val="bullet"/>
      <w:lvlText w:val="o"/>
      <w:lvlJc w:val="left"/>
      <w:pPr>
        <w:tabs>
          <w:tab w:val="num" w:pos="6299"/>
        </w:tabs>
        <w:ind w:left="6299" w:hanging="360"/>
      </w:pPr>
      <w:rPr>
        <w:rFonts w:ascii="Courier New" w:hAnsi="Courier New" w:cs="Courier New" w:hint="default"/>
      </w:rPr>
    </w:lvl>
    <w:lvl w:ilvl="8" w:tplc="040C0005" w:tentative="1">
      <w:start w:val="1"/>
      <w:numFmt w:val="bullet"/>
      <w:lvlText w:val=""/>
      <w:lvlJc w:val="left"/>
      <w:pPr>
        <w:tabs>
          <w:tab w:val="num" w:pos="7019"/>
        </w:tabs>
        <w:ind w:left="7019" w:hanging="360"/>
      </w:pPr>
      <w:rPr>
        <w:rFonts w:ascii="Wingdings" w:hAnsi="Wingdings" w:hint="default"/>
      </w:rPr>
    </w:lvl>
  </w:abstractNum>
  <w:abstractNum w:abstractNumId="17">
    <w:nsid w:val="508677DC"/>
    <w:multiLevelType w:val="hybridMultilevel"/>
    <w:tmpl w:val="D4C87A8E"/>
    <w:lvl w:ilvl="0" w:tplc="CF2A03C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nsid w:val="553D4250"/>
    <w:multiLevelType w:val="hybridMultilevel"/>
    <w:tmpl w:val="95E88DC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5DC649CC"/>
    <w:multiLevelType w:val="hybridMultilevel"/>
    <w:tmpl w:val="7FDEC524"/>
    <w:lvl w:ilvl="0" w:tplc="74AA3034">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5F0D521A"/>
    <w:multiLevelType w:val="hybridMultilevel"/>
    <w:tmpl w:val="D982F1CA"/>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5F336451"/>
    <w:multiLevelType w:val="hybridMultilevel"/>
    <w:tmpl w:val="4C68B694"/>
    <w:lvl w:ilvl="0" w:tplc="8CC4A59E">
      <w:start w:val="1"/>
      <w:numFmt w:val="decimal"/>
      <w:lvlText w:val="%1)"/>
      <w:lvlJc w:val="left"/>
      <w:pPr>
        <w:ind w:left="1440" w:hanging="360"/>
      </w:pPr>
      <w:rPr>
        <w:rFonts w:hint="default"/>
        <w:b/>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2">
    <w:nsid w:val="63632318"/>
    <w:multiLevelType w:val="hybridMultilevel"/>
    <w:tmpl w:val="2D1E3950"/>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66DB3F8B"/>
    <w:multiLevelType w:val="hybridMultilevel"/>
    <w:tmpl w:val="CB62F06C"/>
    <w:lvl w:ilvl="0" w:tplc="040C000B">
      <w:start w:val="1"/>
      <w:numFmt w:val="bullet"/>
      <w:lvlText w:val=""/>
      <w:lvlJc w:val="left"/>
      <w:pPr>
        <w:tabs>
          <w:tab w:val="num" w:pos="1260"/>
        </w:tabs>
        <w:ind w:left="1260" w:hanging="360"/>
      </w:pPr>
      <w:rPr>
        <w:rFonts w:ascii="Wingdings" w:hAnsi="Wingdings"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24">
    <w:nsid w:val="67951215"/>
    <w:multiLevelType w:val="hybridMultilevel"/>
    <w:tmpl w:val="96B63CD4"/>
    <w:lvl w:ilvl="0" w:tplc="2E9EC4F6">
      <w:start w:val="3"/>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6CA122D2"/>
    <w:multiLevelType w:val="hybridMultilevel"/>
    <w:tmpl w:val="F2B226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6EBC629A"/>
    <w:multiLevelType w:val="hybridMultilevel"/>
    <w:tmpl w:val="CD74645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A55525B"/>
    <w:multiLevelType w:val="hybridMultilevel"/>
    <w:tmpl w:val="5CA0E49A"/>
    <w:lvl w:ilvl="0" w:tplc="040C0001">
      <w:start w:val="1"/>
      <w:numFmt w:val="bullet"/>
      <w:lvlText w:val=""/>
      <w:lvlJc w:val="left"/>
      <w:pPr>
        <w:tabs>
          <w:tab w:val="num" w:pos="720"/>
        </w:tabs>
        <w:ind w:left="720" w:hanging="360"/>
      </w:pPr>
      <w:rPr>
        <w:rFonts w:ascii="Symbol" w:hAnsi="Symbol"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nsid w:val="7C727F7F"/>
    <w:multiLevelType w:val="hybridMultilevel"/>
    <w:tmpl w:val="F98AEF0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7EBD748B"/>
    <w:multiLevelType w:val="multilevel"/>
    <w:tmpl w:val="8DB6E226"/>
    <w:lvl w:ilvl="0">
      <w:numFmt w:val="decimal"/>
      <w:lvlText w:val="%1"/>
      <w:lvlJc w:val="left"/>
      <w:pPr>
        <w:tabs>
          <w:tab w:val="num" w:pos="540"/>
        </w:tabs>
        <w:ind w:left="540" w:hanging="540"/>
      </w:pPr>
      <w:rPr>
        <w:rFonts w:hint="default"/>
      </w:rPr>
    </w:lvl>
    <w:lvl w:ilvl="1">
      <w:start w:val="16"/>
      <w:numFmt w:val="decimalZero"/>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FC91F30"/>
    <w:multiLevelType w:val="hybridMultilevel"/>
    <w:tmpl w:val="4C9C5A4A"/>
    <w:lvl w:ilvl="0" w:tplc="040C0001">
      <w:start w:val="1"/>
      <w:numFmt w:val="bullet"/>
      <w:lvlText w:val=""/>
      <w:lvlJc w:val="left"/>
      <w:pPr>
        <w:tabs>
          <w:tab w:val="num" w:pos="1260"/>
        </w:tabs>
        <w:ind w:left="1260" w:hanging="360"/>
      </w:pPr>
      <w:rPr>
        <w:rFonts w:ascii="Symbol" w:hAnsi="Symbol"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31">
    <w:nsid w:val="7FF24684"/>
    <w:multiLevelType w:val="multilevel"/>
    <w:tmpl w:val="0C1E3628"/>
    <w:lvl w:ilvl="0">
      <w:numFmt w:val="decimal"/>
      <w:lvlText w:val="%1"/>
      <w:lvlJc w:val="left"/>
      <w:pPr>
        <w:tabs>
          <w:tab w:val="num" w:pos="660"/>
        </w:tabs>
        <w:ind w:left="660" w:hanging="660"/>
      </w:pPr>
      <w:rPr>
        <w:rFonts w:hint="default"/>
      </w:rPr>
    </w:lvl>
    <w:lvl w:ilvl="1">
      <w:start w:val="71"/>
      <w:numFmt w:val="decimalZero"/>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18"/>
  </w:num>
  <w:num w:numId="3">
    <w:abstractNumId w:val="23"/>
  </w:num>
  <w:num w:numId="4">
    <w:abstractNumId w:val="22"/>
  </w:num>
  <w:num w:numId="5">
    <w:abstractNumId w:val="0"/>
  </w:num>
  <w:num w:numId="6">
    <w:abstractNumId w:val="28"/>
  </w:num>
  <w:num w:numId="7">
    <w:abstractNumId w:val="17"/>
  </w:num>
  <w:num w:numId="8">
    <w:abstractNumId w:val="12"/>
  </w:num>
  <w:num w:numId="9">
    <w:abstractNumId w:val="15"/>
  </w:num>
  <w:num w:numId="10">
    <w:abstractNumId w:val="4"/>
  </w:num>
  <w:num w:numId="11">
    <w:abstractNumId w:val="27"/>
  </w:num>
  <w:num w:numId="12">
    <w:abstractNumId w:val="1"/>
  </w:num>
  <w:num w:numId="13">
    <w:abstractNumId w:val="31"/>
  </w:num>
  <w:num w:numId="14">
    <w:abstractNumId w:val="29"/>
  </w:num>
  <w:num w:numId="15">
    <w:abstractNumId w:val="20"/>
  </w:num>
  <w:num w:numId="16">
    <w:abstractNumId w:val="9"/>
  </w:num>
  <w:num w:numId="17">
    <w:abstractNumId w:val="13"/>
  </w:num>
  <w:num w:numId="18">
    <w:abstractNumId w:val="3"/>
  </w:num>
  <w:num w:numId="19">
    <w:abstractNumId w:val="30"/>
  </w:num>
  <w:num w:numId="20">
    <w:abstractNumId w:val="8"/>
  </w:num>
  <w:num w:numId="21">
    <w:abstractNumId w:val="6"/>
  </w:num>
  <w:num w:numId="22">
    <w:abstractNumId w:val="10"/>
  </w:num>
  <w:num w:numId="23">
    <w:abstractNumId w:val="25"/>
  </w:num>
  <w:num w:numId="24">
    <w:abstractNumId w:val="16"/>
  </w:num>
  <w:num w:numId="25">
    <w:abstractNumId w:val="5"/>
  </w:num>
  <w:num w:numId="26">
    <w:abstractNumId w:val="7"/>
  </w:num>
  <w:num w:numId="27">
    <w:abstractNumId w:val="11"/>
  </w:num>
  <w:num w:numId="28">
    <w:abstractNumId w:val="26"/>
  </w:num>
  <w:num w:numId="29">
    <w:abstractNumId w:val="14"/>
  </w:num>
  <w:num w:numId="30">
    <w:abstractNumId w:val="19"/>
  </w:num>
  <w:num w:numId="31">
    <w:abstractNumId w:val="24"/>
  </w:num>
  <w:num w:numId="3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1"/>
    </o:shapelayout>
  </w:hdrShapeDefaults>
  <w:footnotePr>
    <w:footnote w:id="0"/>
    <w:footnote w:id="1"/>
  </w:footnotePr>
  <w:endnotePr>
    <w:endnote w:id="0"/>
    <w:endnote w:id="1"/>
  </w:endnotePr>
  <w:compat/>
  <w:rsids>
    <w:rsidRoot w:val="001548BA"/>
    <w:rsid w:val="000B3495"/>
    <w:rsid w:val="000D569A"/>
    <w:rsid w:val="000E2769"/>
    <w:rsid w:val="000E311E"/>
    <w:rsid w:val="0010635E"/>
    <w:rsid w:val="00120276"/>
    <w:rsid w:val="00147424"/>
    <w:rsid w:val="001548BA"/>
    <w:rsid w:val="00163EDA"/>
    <w:rsid w:val="0018736E"/>
    <w:rsid w:val="001C2460"/>
    <w:rsid w:val="00210F88"/>
    <w:rsid w:val="00242324"/>
    <w:rsid w:val="00246DE1"/>
    <w:rsid w:val="00250131"/>
    <w:rsid w:val="00261823"/>
    <w:rsid w:val="00272601"/>
    <w:rsid w:val="002B0344"/>
    <w:rsid w:val="002D715D"/>
    <w:rsid w:val="00327647"/>
    <w:rsid w:val="00353C38"/>
    <w:rsid w:val="003717D8"/>
    <w:rsid w:val="003C2576"/>
    <w:rsid w:val="00480042"/>
    <w:rsid w:val="004A0C6E"/>
    <w:rsid w:val="005603B6"/>
    <w:rsid w:val="00591503"/>
    <w:rsid w:val="00614694"/>
    <w:rsid w:val="00617C21"/>
    <w:rsid w:val="00647CA9"/>
    <w:rsid w:val="00670FF4"/>
    <w:rsid w:val="006F2D6D"/>
    <w:rsid w:val="007202C2"/>
    <w:rsid w:val="007239AD"/>
    <w:rsid w:val="007347F8"/>
    <w:rsid w:val="007760F7"/>
    <w:rsid w:val="00777F69"/>
    <w:rsid w:val="00785E5A"/>
    <w:rsid w:val="007B2D6A"/>
    <w:rsid w:val="007E6DCC"/>
    <w:rsid w:val="008B2195"/>
    <w:rsid w:val="008E7AD9"/>
    <w:rsid w:val="00945254"/>
    <w:rsid w:val="00952812"/>
    <w:rsid w:val="00992132"/>
    <w:rsid w:val="009A150D"/>
    <w:rsid w:val="00A8513F"/>
    <w:rsid w:val="00A906C3"/>
    <w:rsid w:val="00AD32E1"/>
    <w:rsid w:val="00B8388C"/>
    <w:rsid w:val="00C03DFE"/>
    <w:rsid w:val="00C33E58"/>
    <w:rsid w:val="00C52207"/>
    <w:rsid w:val="00CB1DC7"/>
    <w:rsid w:val="00CC072C"/>
    <w:rsid w:val="00D801CB"/>
    <w:rsid w:val="00E110B4"/>
    <w:rsid w:val="00ED5807"/>
    <w:rsid w:val="00FB7F9C"/>
    <w:rsid w:val="00FE3105"/>
    <w:rsid w:val="00FF1C06"/>
    <w:rsid w:val="00FF5AB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8BA"/>
    <w:pPr>
      <w:spacing w:after="0" w:line="240" w:lineRule="auto"/>
    </w:pPr>
    <w:rPr>
      <w:rFonts w:ascii="Times New Roman" w:eastAsia="Times New Roman" w:hAnsi="Times New Roman" w:cs="Times New Roman"/>
      <w:sz w:val="24"/>
      <w:szCs w:val="24"/>
      <w:lang w:eastAsia="fr-FR"/>
    </w:rPr>
  </w:style>
  <w:style w:type="paragraph" w:styleId="Titre2">
    <w:name w:val="heading 2"/>
    <w:basedOn w:val="Normal"/>
    <w:next w:val="Normal"/>
    <w:link w:val="Titre2Car"/>
    <w:unhideWhenUsed/>
    <w:qFormat/>
    <w:rsid w:val="001548B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rsid w:val="001548BA"/>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1548BA"/>
    <w:pPr>
      <w:keepNext/>
      <w:spacing w:before="240" w:after="60"/>
      <w:outlineLvl w:val="3"/>
    </w:pPr>
    <w:rPr>
      <w:b/>
      <w:bCs/>
      <w:sz w:val="28"/>
      <w:szCs w:val="28"/>
    </w:rPr>
  </w:style>
  <w:style w:type="paragraph" w:styleId="Titre5">
    <w:name w:val="heading 5"/>
    <w:basedOn w:val="Normal"/>
    <w:next w:val="Normal"/>
    <w:link w:val="Titre5Car"/>
    <w:qFormat/>
    <w:rsid w:val="001548BA"/>
    <w:pPr>
      <w:keepNext/>
      <w:spacing w:before="120" w:after="120" w:line="400" w:lineRule="atLeast"/>
      <w:jc w:val="lowKashida"/>
      <w:outlineLvl w:val="4"/>
    </w:pPr>
    <w:rPr>
      <w:b/>
      <w:bCs/>
      <w:lang w:eastAsia="en-US"/>
    </w:rPr>
  </w:style>
  <w:style w:type="paragraph" w:styleId="Titre6">
    <w:name w:val="heading 6"/>
    <w:basedOn w:val="Normal"/>
    <w:next w:val="Normal"/>
    <w:link w:val="Titre6Car"/>
    <w:qFormat/>
    <w:rsid w:val="001548BA"/>
    <w:pPr>
      <w:spacing w:before="240" w:after="60"/>
      <w:outlineLvl w:val="5"/>
    </w:pPr>
    <w:rPr>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1548BA"/>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rsid w:val="001548BA"/>
    <w:rPr>
      <w:rFonts w:asciiTheme="majorHAnsi" w:eastAsiaTheme="majorEastAsia" w:hAnsiTheme="majorHAnsi" w:cstheme="majorBidi"/>
      <w:b/>
      <w:bCs/>
      <w:color w:val="4F81BD" w:themeColor="accent1"/>
      <w:sz w:val="24"/>
      <w:szCs w:val="24"/>
      <w:lang w:eastAsia="fr-FR"/>
    </w:rPr>
  </w:style>
  <w:style w:type="character" w:customStyle="1" w:styleId="Titre4Car">
    <w:name w:val="Titre 4 Car"/>
    <w:basedOn w:val="Policepardfaut"/>
    <w:link w:val="Titre4"/>
    <w:rsid w:val="001548BA"/>
    <w:rPr>
      <w:rFonts w:ascii="Times New Roman" w:eastAsia="Times New Roman" w:hAnsi="Times New Roman" w:cs="Times New Roman"/>
      <w:b/>
      <w:bCs/>
      <w:sz w:val="28"/>
      <w:szCs w:val="28"/>
      <w:lang w:eastAsia="fr-FR"/>
    </w:rPr>
  </w:style>
  <w:style w:type="character" w:customStyle="1" w:styleId="Titre5Car">
    <w:name w:val="Titre 5 Car"/>
    <w:basedOn w:val="Policepardfaut"/>
    <w:link w:val="Titre5"/>
    <w:rsid w:val="001548BA"/>
    <w:rPr>
      <w:rFonts w:ascii="Times New Roman" w:eastAsia="Times New Roman" w:hAnsi="Times New Roman" w:cs="Times New Roman"/>
      <w:b/>
      <w:bCs/>
      <w:sz w:val="24"/>
      <w:szCs w:val="24"/>
    </w:rPr>
  </w:style>
  <w:style w:type="character" w:customStyle="1" w:styleId="Titre6Car">
    <w:name w:val="Titre 6 Car"/>
    <w:basedOn w:val="Policepardfaut"/>
    <w:link w:val="Titre6"/>
    <w:rsid w:val="001548BA"/>
    <w:rPr>
      <w:rFonts w:ascii="Times New Roman" w:eastAsia="Times New Roman" w:hAnsi="Times New Roman" w:cs="Times New Roman"/>
      <w:b/>
      <w:bCs/>
      <w:lang w:eastAsia="fr-FR"/>
    </w:rPr>
  </w:style>
  <w:style w:type="paragraph" w:styleId="Retraitcorpsdetexte2">
    <w:name w:val="Body Text Indent 2"/>
    <w:basedOn w:val="Normal"/>
    <w:link w:val="Retraitcorpsdetexte2Car"/>
    <w:rsid w:val="001548BA"/>
    <w:pPr>
      <w:spacing w:before="120" w:after="120" w:line="400" w:lineRule="atLeast"/>
      <w:ind w:firstLine="720"/>
      <w:jc w:val="lowKashida"/>
    </w:pPr>
    <w:rPr>
      <w:lang w:eastAsia="en-US"/>
    </w:rPr>
  </w:style>
  <w:style w:type="character" w:customStyle="1" w:styleId="Retraitcorpsdetexte2Car">
    <w:name w:val="Retrait corps de texte 2 Car"/>
    <w:basedOn w:val="Policepardfaut"/>
    <w:link w:val="Retraitcorpsdetexte2"/>
    <w:rsid w:val="001548BA"/>
    <w:rPr>
      <w:rFonts w:ascii="Times New Roman" w:eastAsia="Times New Roman" w:hAnsi="Times New Roman" w:cs="Times New Roman"/>
      <w:sz w:val="24"/>
      <w:szCs w:val="24"/>
    </w:rPr>
  </w:style>
  <w:style w:type="paragraph" w:styleId="Retraitcorpsdetexte">
    <w:name w:val="Body Text Indent"/>
    <w:basedOn w:val="Normal"/>
    <w:link w:val="RetraitcorpsdetexteCar"/>
    <w:rsid w:val="001548BA"/>
    <w:pPr>
      <w:spacing w:after="120"/>
      <w:ind w:left="283"/>
    </w:pPr>
  </w:style>
  <w:style w:type="character" w:customStyle="1" w:styleId="RetraitcorpsdetexteCar">
    <w:name w:val="Retrait corps de texte Car"/>
    <w:basedOn w:val="Policepardfaut"/>
    <w:link w:val="Retraitcorpsdetexte"/>
    <w:rsid w:val="001548BA"/>
    <w:rPr>
      <w:rFonts w:ascii="Times New Roman" w:eastAsia="Times New Roman" w:hAnsi="Times New Roman" w:cs="Times New Roman"/>
      <w:sz w:val="24"/>
      <w:szCs w:val="24"/>
      <w:lang w:eastAsia="fr-FR"/>
    </w:rPr>
  </w:style>
  <w:style w:type="paragraph" w:styleId="Corpsdetexte">
    <w:name w:val="Body Text"/>
    <w:basedOn w:val="Normal"/>
    <w:link w:val="CorpsdetexteCar"/>
    <w:rsid w:val="001548BA"/>
    <w:pPr>
      <w:spacing w:after="120"/>
    </w:pPr>
  </w:style>
  <w:style w:type="character" w:customStyle="1" w:styleId="CorpsdetexteCar">
    <w:name w:val="Corps de texte Car"/>
    <w:basedOn w:val="Policepardfaut"/>
    <w:link w:val="Corpsdetexte"/>
    <w:rsid w:val="001548BA"/>
    <w:rPr>
      <w:rFonts w:ascii="Times New Roman" w:eastAsia="Times New Roman" w:hAnsi="Times New Roman" w:cs="Times New Roman"/>
      <w:sz w:val="24"/>
      <w:szCs w:val="24"/>
      <w:lang w:eastAsia="fr-FR"/>
    </w:rPr>
  </w:style>
  <w:style w:type="table" w:styleId="Grilledutableau">
    <w:name w:val="Table Grid"/>
    <w:basedOn w:val="TableauNormal"/>
    <w:rsid w:val="001548BA"/>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rsid w:val="001548BA"/>
    <w:pPr>
      <w:tabs>
        <w:tab w:val="center" w:pos="4536"/>
        <w:tab w:val="right" w:pos="9072"/>
      </w:tabs>
    </w:pPr>
  </w:style>
  <w:style w:type="character" w:customStyle="1" w:styleId="En-tteCar">
    <w:name w:val="En-tête Car"/>
    <w:basedOn w:val="Policepardfaut"/>
    <w:link w:val="En-tte"/>
    <w:rsid w:val="001548BA"/>
    <w:rPr>
      <w:rFonts w:ascii="Times New Roman" w:eastAsia="Times New Roman" w:hAnsi="Times New Roman" w:cs="Times New Roman"/>
      <w:sz w:val="24"/>
      <w:szCs w:val="24"/>
      <w:lang w:eastAsia="fr-FR"/>
    </w:rPr>
  </w:style>
  <w:style w:type="paragraph" w:styleId="Pieddepage">
    <w:name w:val="footer"/>
    <w:basedOn w:val="Normal"/>
    <w:link w:val="PieddepageCar"/>
    <w:rsid w:val="001548BA"/>
    <w:pPr>
      <w:tabs>
        <w:tab w:val="center" w:pos="4536"/>
        <w:tab w:val="right" w:pos="9072"/>
      </w:tabs>
    </w:pPr>
  </w:style>
  <w:style w:type="character" w:customStyle="1" w:styleId="PieddepageCar">
    <w:name w:val="Pied de page Car"/>
    <w:basedOn w:val="Policepardfaut"/>
    <w:link w:val="Pieddepage"/>
    <w:rsid w:val="001548BA"/>
    <w:rPr>
      <w:rFonts w:ascii="Times New Roman" w:eastAsia="Times New Roman" w:hAnsi="Times New Roman" w:cs="Times New Roman"/>
      <w:sz w:val="24"/>
      <w:szCs w:val="24"/>
      <w:lang w:eastAsia="fr-FR"/>
    </w:rPr>
  </w:style>
  <w:style w:type="paragraph" w:styleId="NormalWeb">
    <w:name w:val="Normal (Web)"/>
    <w:basedOn w:val="Normal"/>
    <w:rsid w:val="001548BA"/>
    <w:pPr>
      <w:spacing w:before="100" w:beforeAutospacing="1" w:after="100" w:afterAutospacing="1"/>
    </w:pPr>
  </w:style>
  <w:style w:type="character" w:styleId="Numrodepage">
    <w:name w:val="page number"/>
    <w:basedOn w:val="Policepardfaut"/>
    <w:rsid w:val="001548BA"/>
  </w:style>
  <w:style w:type="paragraph" w:customStyle="1" w:styleId="title">
    <w:name w:val="title"/>
    <w:basedOn w:val="Normal"/>
    <w:rsid w:val="001548BA"/>
    <w:pPr>
      <w:spacing w:before="100" w:beforeAutospacing="1" w:after="100" w:afterAutospacing="1"/>
      <w:ind w:right="2250"/>
    </w:pPr>
    <w:rPr>
      <w:rFonts w:ascii="Arial" w:hAnsi="Arial" w:cs="Arial"/>
      <w:sz w:val="18"/>
      <w:szCs w:val="18"/>
    </w:rPr>
  </w:style>
  <w:style w:type="character" w:styleId="Accentuation">
    <w:name w:val="Emphasis"/>
    <w:basedOn w:val="Policepardfaut"/>
    <w:qFormat/>
    <w:rsid w:val="001548BA"/>
    <w:rPr>
      <w:i/>
      <w:iCs/>
    </w:rPr>
  </w:style>
  <w:style w:type="paragraph" w:styleId="Textedebulles">
    <w:name w:val="Balloon Text"/>
    <w:basedOn w:val="Normal"/>
    <w:link w:val="TextedebullesCar"/>
    <w:uiPriority w:val="99"/>
    <w:semiHidden/>
    <w:unhideWhenUsed/>
    <w:rsid w:val="001548BA"/>
    <w:rPr>
      <w:rFonts w:ascii="Tahoma" w:hAnsi="Tahoma" w:cs="Tahoma"/>
      <w:sz w:val="16"/>
      <w:szCs w:val="16"/>
    </w:rPr>
  </w:style>
  <w:style w:type="character" w:customStyle="1" w:styleId="TextedebullesCar">
    <w:name w:val="Texte de bulles Car"/>
    <w:basedOn w:val="Policepardfaut"/>
    <w:link w:val="Textedebulles"/>
    <w:uiPriority w:val="99"/>
    <w:semiHidden/>
    <w:rsid w:val="001548BA"/>
    <w:rPr>
      <w:rFonts w:ascii="Tahoma" w:eastAsia="Times New Roman" w:hAnsi="Tahoma" w:cs="Tahoma"/>
      <w:sz w:val="16"/>
      <w:szCs w:val="16"/>
      <w:lang w:eastAsia="fr-FR"/>
    </w:rPr>
  </w:style>
  <w:style w:type="paragraph" w:styleId="Paragraphedeliste">
    <w:name w:val="List Paragraph"/>
    <w:basedOn w:val="Normal"/>
    <w:uiPriority w:val="34"/>
    <w:qFormat/>
    <w:rsid w:val="001548BA"/>
    <w:pPr>
      <w:ind w:left="720"/>
      <w:contextualSpacing/>
    </w:pPr>
  </w:style>
  <w:style w:type="paragraph" w:customStyle="1" w:styleId="body">
    <w:name w:val="body"/>
    <w:basedOn w:val="Normal"/>
    <w:rsid w:val="001548BA"/>
    <w:pPr>
      <w:spacing w:before="100" w:beforeAutospacing="1" w:after="100" w:afterAutospacing="1"/>
      <w:jc w:val="both"/>
    </w:pPr>
    <w:rPr>
      <w:rFonts w:ascii="Verdana" w:hAnsi="Verdana"/>
      <w:sz w:val="11"/>
      <w:szCs w:val="1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4637</Words>
  <Characters>25507</Characters>
  <Application>Microsoft Office Word</Application>
  <DocSecurity>0</DocSecurity>
  <Lines>212</Lines>
  <Paragraphs>60</Paragraphs>
  <ScaleCrop>false</ScaleCrop>
  <Company/>
  <LinksUpToDate>false</LinksUpToDate>
  <CharactersWithSpaces>30084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easy</dc:creator>
  <cp:keywords/>
  <dc:description/>
  <cp:lastModifiedBy>easy</cp:lastModifiedBy>
  <cp:revision>4</cp:revision>
  <dcterms:created xsi:type="dcterms:W3CDTF">2009-04-26T12:54:00Z</dcterms:created>
  <dcterms:modified xsi:type="dcterms:W3CDTF">2009-05-10T22:49:00Z</dcterms:modified>
</cp:coreProperties>
</file>